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1A" w:rsidRDefault="00E7541A" w:rsidP="00E7541A">
      <w:pPr>
        <w:pStyle w:val="a5"/>
        <w:spacing w:before="0" w:beforeAutospacing="0" w:after="0" w:afterAutospacing="0" w:line="560" w:lineRule="exact"/>
        <w:ind w:right="147"/>
        <w:jc w:val="center"/>
        <w:textAlignment w:val="baseline"/>
        <w:rPr>
          <w:rFonts w:ascii="黑体" w:eastAsia="黑体" w:hAnsi="黑体" w:cs="Times New Roman"/>
          <w:b/>
          <w:bCs/>
          <w:sz w:val="36"/>
          <w:szCs w:val="36"/>
        </w:rPr>
      </w:pPr>
      <w:bookmarkStart w:id="0" w:name="_GoBack"/>
      <w:bookmarkEnd w:id="0"/>
      <w:r>
        <w:rPr>
          <w:rFonts w:ascii="黑体" w:eastAsia="黑体" w:hAnsi="黑体" w:cs="Times New Roman" w:hint="eastAsia"/>
          <w:b/>
          <w:bCs/>
          <w:sz w:val="36"/>
          <w:szCs w:val="36"/>
        </w:rPr>
        <w:t>上海市文明单位（文明医院）考评指标体系（2020版）</w:t>
      </w:r>
    </w:p>
    <w:p w:rsidR="00E7541A" w:rsidRDefault="00E7541A" w:rsidP="00E7541A">
      <w:pPr>
        <w:pStyle w:val="a5"/>
        <w:spacing w:before="0" w:beforeAutospacing="0" w:after="0" w:afterAutospacing="0" w:line="560" w:lineRule="exact"/>
        <w:ind w:right="147"/>
        <w:jc w:val="center"/>
        <w:textAlignment w:val="baseline"/>
        <w:rPr>
          <w:rFonts w:ascii="黑体" w:eastAsia="黑体" w:hAnsi="黑体" w:cs="Times New Roman"/>
          <w:b/>
          <w:bCs/>
          <w:sz w:val="36"/>
          <w:szCs w:val="36"/>
        </w:rPr>
      </w:pPr>
    </w:p>
    <w:tbl>
      <w:tblPr>
        <w:tblW w:w="13765" w:type="dxa"/>
        <w:tblInd w:w="93" w:type="dxa"/>
        <w:tblLayout w:type="fixed"/>
        <w:tblLook w:val="0000" w:firstRow="0" w:lastRow="0" w:firstColumn="0" w:lastColumn="0" w:noHBand="0" w:noVBand="0"/>
      </w:tblPr>
      <w:tblGrid>
        <w:gridCol w:w="534"/>
        <w:gridCol w:w="416"/>
        <w:gridCol w:w="1333"/>
        <w:gridCol w:w="5045"/>
        <w:gridCol w:w="4583"/>
        <w:gridCol w:w="711"/>
        <w:gridCol w:w="1143"/>
      </w:tblGrid>
      <w:tr w:rsidR="00E7541A" w:rsidTr="00206B22">
        <w:trPr>
          <w:trHeight w:val="660"/>
        </w:trPr>
        <w:tc>
          <w:tcPr>
            <w:tcW w:w="13765" w:type="dxa"/>
            <w:gridSpan w:val="7"/>
            <w:tcBorders>
              <w:top w:val="nil"/>
              <w:left w:val="nil"/>
              <w:bottom w:val="single" w:sz="4" w:space="0" w:color="auto"/>
            </w:tcBorders>
            <w:noWrap/>
            <w:vAlign w:val="center"/>
          </w:tcPr>
          <w:p w:rsidR="00E7541A" w:rsidRDefault="00E7541A" w:rsidP="00206B22">
            <w:pPr>
              <w:widowControl/>
              <w:jc w:val="center"/>
              <w:rPr>
                <w:rFonts w:ascii="黑体" w:eastAsia="黑体" w:hAnsi="黑体"/>
                <w:b/>
                <w:bCs/>
                <w:color w:val="000000"/>
                <w:kern w:val="0"/>
                <w:sz w:val="36"/>
                <w:szCs w:val="36"/>
              </w:rPr>
            </w:pPr>
            <w:r>
              <w:rPr>
                <w:rFonts w:ascii="黑体" w:eastAsia="黑体" w:hAnsi="黑体" w:hint="eastAsia"/>
                <w:b/>
                <w:bCs/>
                <w:color w:val="000000"/>
                <w:kern w:val="0"/>
                <w:sz w:val="36"/>
                <w:szCs w:val="36"/>
              </w:rPr>
              <w:t>一、基本指标（90分）</w:t>
            </w:r>
          </w:p>
        </w:tc>
      </w:tr>
      <w:tr w:rsidR="00E7541A" w:rsidTr="00206B22">
        <w:trPr>
          <w:trHeight w:val="600"/>
        </w:trPr>
        <w:tc>
          <w:tcPr>
            <w:tcW w:w="9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7541A" w:rsidRDefault="00E7541A" w:rsidP="00206B22">
            <w:pPr>
              <w:widowControl/>
              <w:jc w:val="center"/>
              <w:rPr>
                <w:rFonts w:ascii="黑体" w:eastAsia="黑体" w:hAnsi="黑体"/>
                <w:b/>
                <w:bCs/>
                <w:color w:val="000000"/>
                <w:kern w:val="0"/>
                <w:sz w:val="22"/>
              </w:rPr>
            </w:pPr>
            <w:r>
              <w:rPr>
                <w:rFonts w:ascii="黑体" w:eastAsia="黑体" w:hAnsi="黑体" w:hint="eastAsia"/>
                <w:b/>
                <w:bCs/>
                <w:color w:val="000000"/>
                <w:kern w:val="0"/>
                <w:sz w:val="22"/>
              </w:rPr>
              <w:t>一级指标</w:t>
            </w:r>
          </w:p>
        </w:tc>
        <w:tc>
          <w:tcPr>
            <w:tcW w:w="1333" w:type="dxa"/>
            <w:tcBorders>
              <w:top w:val="nil"/>
              <w:left w:val="nil"/>
              <w:bottom w:val="single" w:sz="4" w:space="0" w:color="auto"/>
              <w:right w:val="single" w:sz="4" w:space="0" w:color="auto"/>
            </w:tcBorders>
            <w:shd w:val="clear" w:color="000000" w:fill="FFFFFF"/>
            <w:noWrap/>
            <w:vAlign w:val="center"/>
          </w:tcPr>
          <w:p w:rsidR="00E7541A" w:rsidRDefault="00E7541A" w:rsidP="00206B22">
            <w:pPr>
              <w:widowControl/>
              <w:jc w:val="center"/>
              <w:rPr>
                <w:rFonts w:ascii="黑体" w:eastAsia="黑体" w:hAnsi="黑体"/>
                <w:b/>
                <w:bCs/>
                <w:color w:val="000000"/>
                <w:kern w:val="0"/>
                <w:sz w:val="22"/>
              </w:rPr>
            </w:pPr>
            <w:r>
              <w:rPr>
                <w:rFonts w:ascii="黑体" w:eastAsia="黑体" w:hAnsi="黑体" w:hint="eastAsia"/>
                <w:b/>
                <w:bCs/>
                <w:color w:val="000000"/>
                <w:kern w:val="0"/>
                <w:sz w:val="22"/>
              </w:rPr>
              <w:t>二级指标</w:t>
            </w:r>
          </w:p>
        </w:tc>
        <w:tc>
          <w:tcPr>
            <w:tcW w:w="9628" w:type="dxa"/>
            <w:gridSpan w:val="2"/>
            <w:tcBorders>
              <w:top w:val="single" w:sz="4" w:space="0" w:color="auto"/>
              <w:left w:val="nil"/>
              <w:bottom w:val="single" w:sz="4" w:space="0" w:color="auto"/>
              <w:right w:val="nil"/>
            </w:tcBorders>
            <w:shd w:val="clear" w:color="000000" w:fill="FFFFFF"/>
            <w:vAlign w:val="center"/>
          </w:tcPr>
          <w:p w:rsidR="00E7541A" w:rsidRDefault="00E7541A" w:rsidP="00206B22">
            <w:pPr>
              <w:widowControl/>
              <w:jc w:val="center"/>
              <w:rPr>
                <w:rFonts w:ascii="黑体" w:eastAsia="黑体" w:hAnsi="黑体"/>
                <w:b/>
                <w:bCs/>
                <w:color w:val="000000"/>
                <w:kern w:val="0"/>
                <w:sz w:val="22"/>
              </w:rPr>
            </w:pPr>
            <w:r>
              <w:rPr>
                <w:rFonts w:ascii="黑体" w:eastAsia="黑体" w:hAnsi="黑体" w:hint="eastAsia"/>
                <w:b/>
                <w:bCs/>
                <w:color w:val="000000"/>
                <w:kern w:val="0"/>
                <w:sz w:val="22"/>
              </w:rPr>
              <w:t>评价标准</w:t>
            </w:r>
          </w:p>
        </w:tc>
        <w:tc>
          <w:tcPr>
            <w:tcW w:w="711" w:type="dxa"/>
            <w:tcBorders>
              <w:top w:val="nil"/>
              <w:left w:val="single" w:sz="4" w:space="0" w:color="auto"/>
              <w:bottom w:val="single" w:sz="4" w:space="0" w:color="auto"/>
              <w:right w:val="single" w:sz="4" w:space="0" w:color="auto"/>
            </w:tcBorders>
            <w:shd w:val="clear" w:color="000000" w:fill="FFFFFF"/>
            <w:vAlign w:val="center"/>
          </w:tcPr>
          <w:p w:rsidR="00E7541A" w:rsidRDefault="00E7541A" w:rsidP="00206B22">
            <w:pPr>
              <w:widowControl/>
              <w:jc w:val="center"/>
              <w:rPr>
                <w:rFonts w:ascii="黑体" w:eastAsia="黑体" w:hAnsi="黑体"/>
                <w:b/>
                <w:bCs/>
                <w:color w:val="000000"/>
                <w:kern w:val="0"/>
                <w:sz w:val="22"/>
              </w:rPr>
            </w:pPr>
            <w:r>
              <w:rPr>
                <w:rFonts w:ascii="黑体" w:eastAsia="黑体" w:hAnsi="黑体" w:hint="eastAsia"/>
                <w:b/>
                <w:bCs/>
                <w:color w:val="000000"/>
                <w:kern w:val="0"/>
                <w:sz w:val="22"/>
              </w:rPr>
              <w:t>分值</w:t>
            </w:r>
          </w:p>
        </w:tc>
        <w:tc>
          <w:tcPr>
            <w:tcW w:w="1143" w:type="dxa"/>
            <w:tcBorders>
              <w:top w:val="nil"/>
              <w:left w:val="nil"/>
              <w:bottom w:val="single" w:sz="4" w:space="0" w:color="auto"/>
              <w:right w:val="single" w:sz="4" w:space="0" w:color="auto"/>
            </w:tcBorders>
            <w:shd w:val="clear" w:color="000000" w:fill="FFFFFF"/>
            <w:vAlign w:val="center"/>
          </w:tcPr>
          <w:p w:rsidR="00E7541A" w:rsidRDefault="00E7541A" w:rsidP="00206B22">
            <w:pPr>
              <w:widowControl/>
              <w:jc w:val="center"/>
              <w:rPr>
                <w:rFonts w:ascii="黑体" w:eastAsia="黑体" w:hAnsi="黑体"/>
                <w:b/>
                <w:bCs/>
                <w:color w:val="000000"/>
                <w:kern w:val="0"/>
                <w:sz w:val="22"/>
              </w:rPr>
            </w:pPr>
            <w:r>
              <w:rPr>
                <w:rFonts w:ascii="黑体" w:eastAsia="黑体" w:hAnsi="黑体" w:hint="eastAsia"/>
                <w:b/>
                <w:bCs/>
                <w:color w:val="000000"/>
                <w:kern w:val="0"/>
                <w:sz w:val="22"/>
              </w:rPr>
              <w:t>评审方法</w:t>
            </w:r>
          </w:p>
        </w:tc>
      </w:tr>
      <w:tr w:rsidR="00E7541A" w:rsidTr="00206B22">
        <w:trPr>
          <w:trHeight w:val="915"/>
        </w:trPr>
        <w:tc>
          <w:tcPr>
            <w:tcW w:w="950" w:type="dxa"/>
            <w:gridSpan w:val="2"/>
            <w:vMerge w:val="restart"/>
            <w:tcBorders>
              <w:top w:val="single" w:sz="4" w:space="0" w:color="auto"/>
              <w:left w:val="single" w:sz="4" w:space="0" w:color="auto"/>
              <w:bottom w:val="nil"/>
              <w:right w:val="single" w:sz="4" w:space="0" w:color="000000"/>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Ⅰ               思想教育深入      医德建设有效</w:t>
            </w:r>
            <w:r>
              <w:rPr>
                <w:rFonts w:ascii="宋体" w:hAnsi="宋体" w:hint="eastAsia"/>
                <w:color w:val="000000"/>
                <w:kern w:val="0"/>
                <w:sz w:val="20"/>
                <w:szCs w:val="20"/>
              </w:rPr>
              <w:br/>
              <w:t>（20分）</w:t>
            </w:r>
          </w:p>
        </w:tc>
        <w:tc>
          <w:tcPr>
            <w:tcW w:w="133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Ⅰ-1</w:t>
            </w:r>
          </w:p>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 xml:space="preserve">思想教育 </w:t>
            </w:r>
            <w:r>
              <w:rPr>
                <w:rFonts w:ascii="宋体" w:hAnsi="宋体" w:hint="eastAsia"/>
                <w:color w:val="000000"/>
                <w:kern w:val="0"/>
                <w:sz w:val="20"/>
                <w:szCs w:val="20"/>
              </w:rPr>
              <w:br/>
              <w:t>(6分)</w:t>
            </w:r>
          </w:p>
        </w:tc>
        <w:tc>
          <w:tcPr>
            <w:tcW w:w="9628" w:type="dxa"/>
            <w:gridSpan w:val="2"/>
            <w:tcBorders>
              <w:top w:val="single" w:sz="4" w:space="0" w:color="auto"/>
              <w:left w:val="nil"/>
              <w:bottom w:val="single" w:sz="4" w:space="0" w:color="auto"/>
              <w:right w:val="single" w:sz="4" w:space="0" w:color="000000"/>
            </w:tcBorders>
          </w:tcPr>
          <w:p w:rsidR="00E7541A" w:rsidRDefault="00E7541A" w:rsidP="00206B22">
            <w:pPr>
              <w:widowControl/>
              <w:jc w:val="left"/>
              <w:rPr>
                <w:rFonts w:ascii="宋体" w:hAnsi="宋体"/>
                <w:kern w:val="0"/>
                <w:sz w:val="20"/>
                <w:szCs w:val="20"/>
              </w:rPr>
            </w:pPr>
            <w:r>
              <w:rPr>
                <w:rFonts w:ascii="宋体" w:hAnsi="宋体" w:hint="eastAsia"/>
                <w:kern w:val="0"/>
                <w:sz w:val="20"/>
                <w:szCs w:val="20"/>
              </w:rPr>
              <w:t>1.制定学习贯彻习近平新时代中国特色社会主义思想和党的十九大精神、培育和践行社会主义核心价值观的工作计划，落实国家卫健委、市委市府重点工作要求，及时传达和部署落实最新精神。在突发公共卫生事件等关键时刻，宣传思想工作有力，单位凝聚力和组织动员力强。</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2</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审核材料       听取汇报         听取意见</w:t>
            </w:r>
          </w:p>
        </w:tc>
      </w:tr>
      <w:tr w:rsidR="00E7541A" w:rsidTr="00206B22">
        <w:trPr>
          <w:trHeight w:val="645"/>
        </w:trPr>
        <w:tc>
          <w:tcPr>
            <w:tcW w:w="950" w:type="dxa"/>
            <w:gridSpan w:val="2"/>
            <w:vMerge/>
            <w:tcBorders>
              <w:top w:val="single" w:sz="4" w:space="0" w:color="auto"/>
              <w:left w:val="single" w:sz="4" w:space="0" w:color="auto"/>
              <w:bottom w:val="nil"/>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shd w:val="clear" w:color="000000" w:fill="FFFFFF"/>
          </w:tcPr>
          <w:p w:rsidR="00E7541A" w:rsidRDefault="00E7541A" w:rsidP="00206B22">
            <w:pPr>
              <w:widowControl/>
              <w:jc w:val="left"/>
              <w:rPr>
                <w:rFonts w:ascii="宋体" w:hAnsi="宋体"/>
                <w:kern w:val="0"/>
                <w:sz w:val="20"/>
                <w:szCs w:val="20"/>
              </w:rPr>
            </w:pPr>
            <w:r>
              <w:rPr>
                <w:rFonts w:ascii="宋体" w:hAnsi="宋体" w:hint="eastAsia"/>
                <w:kern w:val="0"/>
                <w:sz w:val="20"/>
                <w:szCs w:val="20"/>
              </w:rPr>
              <w:t>2.中心组学习每月一次，有计划、内容、记录、总结和述职述学制度。完成上级下达的干部教育培训任务。落实党员领导干部双重组织生活会制度、领导班子成员之间谈心谈话制度。</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2</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84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 xml:space="preserve">3.职工学习每月一次，有制度、有计划、有记录、有考勤，学习内容有针对性，学习形式丰富。用好“学习强国”等学习平台，做到党员全覆盖。              </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495"/>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4.医院思想政治工作有经费投入，有理论成果或调研报告，有相关内容课题或奖项。</w:t>
            </w:r>
          </w:p>
        </w:tc>
        <w:tc>
          <w:tcPr>
            <w:tcW w:w="711"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440"/>
        </w:trPr>
        <w:tc>
          <w:tcPr>
            <w:tcW w:w="950" w:type="dxa"/>
            <w:gridSpan w:val="2"/>
            <w:vMerge/>
            <w:tcBorders>
              <w:top w:val="single" w:sz="4" w:space="0" w:color="auto"/>
              <w:left w:val="single" w:sz="4" w:space="0" w:color="auto"/>
              <w:bottom w:val="nil"/>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tcBorders>
              <w:top w:val="nil"/>
              <w:left w:val="nil"/>
              <w:bottom w:val="nil"/>
              <w:right w:val="single" w:sz="4" w:space="0" w:color="auto"/>
            </w:tcBorders>
            <w:shd w:val="clear" w:color="000000" w:fill="FFFFFF"/>
            <w:vAlign w:val="center"/>
          </w:tcPr>
          <w:p w:rsidR="00E7541A" w:rsidRDefault="00E7541A" w:rsidP="00206B22">
            <w:pPr>
              <w:widowControl/>
              <w:jc w:val="center"/>
              <w:rPr>
                <w:rFonts w:ascii="宋体" w:hAnsi="宋体"/>
                <w:color w:val="000000"/>
                <w:kern w:val="0"/>
                <w:sz w:val="20"/>
                <w:szCs w:val="20"/>
              </w:rPr>
            </w:pPr>
          </w:p>
        </w:tc>
        <w:tc>
          <w:tcPr>
            <w:tcW w:w="9628" w:type="dxa"/>
            <w:gridSpan w:val="2"/>
            <w:tcBorders>
              <w:top w:val="single" w:sz="4" w:space="0" w:color="auto"/>
              <w:left w:val="nil"/>
              <w:bottom w:val="single" w:sz="4" w:space="0" w:color="auto"/>
              <w:right w:val="nil"/>
            </w:tcBorders>
            <w:shd w:val="clear" w:color="auto" w:fill="auto"/>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 xml:space="preserve">5.弘扬“敬佑生命、救死扶伤、甘于奉献、大爱无疆”的职业精神，员工对职业精神认同率达到100%。                                                                               </w:t>
            </w:r>
          </w:p>
        </w:tc>
        <w:tc>
          <w:tcPr>
            <w:tcW w:w="711" w:type="dxa"/>
            <w:tcBorders>
              <w:top w:val="nil"/>
              <w:left w:val="single" w:sz="4" w:space="0" w:color="auto"/>
              <w:bottom w:val="single" w:sz="4" w:space="0" w:color="auto"/>
              <w:right w:val="single" w:sz="4" w:space="0" w:color="auto"/>
            </w:tcBorders>
            <w:shd w:val="clear" w:color="auto" w:fill="auto"/>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tcBorders>
              <w:top w:val="nil"/>
              <w:left w:val="nil"/>
              <w:bottom w:val="nil"/>
              <w:right w:val="single" w:sz="4" w:space="0" w:color="auto"/>
            </w:tcBorders>
            <w:shd w:val="clear" w:color="000000" w:fill="FFFFFF"/>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现场抽查</w:t>
            </w:r>
          </w:p>
        </w:tc>
      </w:tr>
      <w:tr w:rsidR="00E7541A" w:rsidTr="00206B22">
        <w:trPr>
          <w:trHeight w:val="80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Ⅰ－２</w:t>
            </w:r>
            <w:r>
              <w:rPr>
                <w:rFonts w:ascii="宋体" w:hAnsi="宋体" w:hint="eastAsia"/>
                <w:color w:val="000000"/>
                <w:kern w:val="0"/>
                <w:sz w:val="20"/>
                <w:szCs w:val="20"/>
              </w:rPr>
              <w:br/>
              <w:t>医院文化</w:t>
            </w:r>
            <w:r>
              <w:rPr>
                <w:rFonts w:ascii="宋体" w:hAnsi="宋体" w:hint="eastAsia"/>
                <w:color w:val="000000"/>
                <w:kern w:val="0"/>
                <w:sz w:val="20"/>
                <w:szCs w:val="20"/>
              </w:rPr>
              <w:br/>
              <w:t>（5分）</w:t>
            </w: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6.挖掘和传承院训、院史中蕴含的医院优良传统，凝练和塑造医院精神，增强医务人员职业荣誉感，形成鲜明医院文化品牌。</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val="restart"/>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审核材料        听取汇报        听取意见       </w:t>
            </w:r>
          </w:p>
        </w:tc>
      </w:tr>
      <w:tr w:rsidR="00E7541A" w:rsidTr="00206B22">
        <w:trPr>
          <w:trHeight w:val="495"/>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7.对干部和职工开展形式多样的专业及法律、文化、科技、管理等知识培训和读书活动，提高综合素质。</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0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8.文化建设有完善的组织体系，有制度、规划、载体、措施、资金保障，文化建设能体现单位职工共同的价值观，有实效。</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48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9.建有职工之家、图书/电子阅览室、文化活动室和体育活动设施，活动安排丰富。</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0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Ⅰ－3</w:t>
            </w:r>
            <w:r>
              <w:rPr>
                <w:rFonts w:ascii="宋体" w:hAnsi="宋体" w:hint="eastAsia"/>
                <w:color w:val="000000"/>
                <w:kern w:val="0"/>
                <w:sz w:val="20"/>
                <w:szCs w:val="20"/>
              </w:rPr>
              <w:br/>
              <w:t>医德医风</w:t>
            </w:r>
            <w:r>
              <w:rPr>
                <w:rFonts w:ascii="宋体" w:hAnsi="宋体" w:hint="eastAsia"/>
                <w:color w:val="000000"/>
                <w:kern w:val="0"/>
                <w:sz w:val="20"/>
                <w:szCs w:val="20"/>
              </w:rPr>
              <w:br/>
              <w:t>（5分）</w:t>
            </w: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10.开展医务工作者职业道德宣传教育专题活动≥4次/年。员工自觉遵守职业道德规范。</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2</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审核材料        听取汇报        听取意见</w:t>
            </w:r>
          </w:p>
        </w:tc>
      </w:tr>
      <w:tr w:rsidR="00E7541A" w:rsidTr="00206B22">
        <w:trPr>
          <w:trHeight w:val="96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11.评选表彰各类先进典型，通过事迹报告会、座谈交流、宣传栏、媒体报道、文艺作品等方式广泛宣传，营造学习先进、崇尚模范的氛围。</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101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 xml:space="preserve">12.开展法制教育，普及卫生法律法规和医院规章制度，干部带头学法用法，员工依法依纪行医。强化医务人员医学人文与医学伦理的培训。                                                 </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585"/>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13.健全医德医风建设的监督、管理机制,建立客观公正的医德档案。完善医务人员医德考评制度，实行医德“一票否决制”，将医德表现与医务人员晋职晋级、岗位聘用、评先评优和定期考核等直接挂钩。</w:t>
            </w:r>
          </w:p>
        </w:tc>
        <w:tc>
          <w:tcPr>
            <w:tcW w:w="711" w:type="dxa"/>
            <w:tcBorders>
              <w:top w:val="nil"/>
              <w:left w:val="nil"/>
              <w:bottom w:val="nil"/>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tcBorders>
              <w:top w:val="nil"/>
              <w:left w:val="nil"/>
              <w:bottom w:val="nil"/>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审核材料        听取汇报</w:t>
            </w:r>
          </w:p>
        </w:tc>
      </w:tr>
      <w:tr w:rsidR="00E7541A" w:rsidTr="00206B22">
        <w:trPr>
          <w:trHeight w:val="585"/>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Ⅰ－4</w:t>
            </w:r>
            <w:r>
              <w:rPr>
                <w:rFonts w:ascii="宋体" w:hAnsi="宋体" w:hint="eastAsia"/>
                <w:color w:val="000000"/>
                <w:kern w:val="0"/>
                <w:sz w:val="20"/>
                <w:szCs w:val="20"/>
              </w:rPr>
              <w:br/>
              <w:t>媒体宣传</w:t>
            </w:r>
            <w:r>
              <w:rPr>
                <w:rFonts w:ascii="宋体" w:hAnsi="宋体" w:hint="eastAsia"/>
                <w:color w:val="000000"/>
                <w:kern w:val="0"/>
                <w:sz w:val="20"/>
                <w:szCs w:val="20"/>
              </w:rPr>
              <w:br/>
              <w:t>（２分）</w:t>
            </w: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14.医院媒体管理责任明确，信息内容审核机制完善。运用医院报刊、网站、微博、微信、宣传栏、电子屏，以及中央、本市主流媒体、专业媒体等，开展生动的宣传和医学科普教育，提升社会美誉度。</w:t>
            </w:r>
          </w:p>
        </w:tc>
        <w:tc>
          <w:tcPr>
            <w:tcW w:w="711" w:type="dxa"/>
            <w:tcBorders>
              <w:top w:val="single" w:sz="4" w:space="0" w:color="auto"/>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val="restart"/>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听取汇报         现场查看     </w:t>
            </w:r>
          </w:p>
        </w:tc>
      </w:tr>
      <w:tr w:rsidR="00E7541A" w:rsidTr="00206B22">
        <w:trPr>
          <w:trHeight w:val="795"/>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15.建立新闻发布制度，主动及时准确权威发布重要信息，主动引导社会舆论。按照市医疗卫生舆情应对联席会议工作要求，做好舆情监测和应对，及时回应媒体和群众关切的问题。</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1325"/>
        </w:trPr>
        <w:tc>
          <w:tcPr>
            <w:tcW w:w="950" w:type="dxa"/>
            <w:gridSpan w:val="2"/>
            <w:vMerge/>
            <w:tcBorders>
              <w:top w:val="single" w:sz="4" w:space="0" w:color="auto"/>
              <w:left w:val="single" w:sz="4" w:space="0" w:color="auto"/>
              <w:bottom w:val="nil"/>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nil"/>
              <w:right w:val="single" w:sz="4" w:space="0" w:color="auto"/>
            </w:tcBorders>
            <w:shd w:val="clear" w:color="000000" w:fill="FFFFFF"/>
            <w:vAlign w:val="center"/>
          </w:tcPr>
          <w:p w:rsidR="00E7541A" w:rsidRDefault="00E7541A" w:rsidP="00206B22">
            <w:pPr>
              <w:widowControl/>
              <w:jc w:val="center"/>
              <w:rPr>
                <w:rFonts w:ascii="宋体" w:hAnsi="宋体"/>
                <w:color w:val="000000"/>
                <w:kern w:val="0"/>
                <w:sz w:val="22"/>
              </w:rPr>
            </w:pPr>
            <w:r>
              <w:rPr>
                <w:rFonts w:ascii="宋体" w:hAnsi="宋体" w:hint="eastAsia"/>
                <w:color w:val="000000"/>
                <w:kern w:val="0"/>
                <w:sz w:val="22"/>
              </w:rPr>
              <w:t>Ⅰ－5</w:t>
            </w:r>
          </w:p>
          <w:p w:rsidR="00E7541A" w:rsidRDefault="00E7541A" w:rsidP="00206B22">
            <w:pPr>
              <w:widowControl/>
              <w:jc w:val="center"/>
              <w:rPr>
                <w:rFonts w:ascii="宋体" w:hAnsi="宋体"/>
                <w:color w:val="000000"/>
                <w:kern w:val="0"/>
                <w:sz w:val="22"/>
              </w:rPr>
            </w:pPr>
            <w:r>
              <w:rPr>
                <w:rFonts w:ascii="宋体" w:hAnsi="宋体" w:hint="eastAsia"/>
                <w:color w:val="000000"/>
                <w:kern w:val="0"/>
                <w:sz w:val="22"/>
              </w:rPr>
              <w:t>行风建设</w:t>
            </w:r>
          </w:p>
          <w:p w:rsidR="00E7541A" w:rsidRDefault="00E7541A" w:rsidP="00206B22">
            <w:pPr>
              <w:widowControl/>
              <w:jc w:val="center"/>
              <w:rPr>
                <w:rFonts w:ascii="宋体" w:hAnsi="宋体"/>
                <w:color w:val="000000"/>
                <w:kern w:val="0"/>
                <w:sz w:val="22"/>
              </w:rPr>
            </w:pPr>
            <w:r>
              <w:rPr>
                <w:rFonts w:ascii="宋体" w:hAnsi="宋体" w:hint="eastAsia"/>
                <w:color w:val="000000"/>
                <w:kern w:val="0"/>
                <w:sz w:val="22"/>
              </w:rPr>
              <w:t>（2分）</w:t>
            </w: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16.建立行风建设领导机制，明确分管领导和行风建设的工作部门。严格落实整治药品回扣“1+7”配套文件，制定本单位具体工作制度，认真组织实施。</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2"/>
              </w:rPr>
            </w:pPr>
            <w:r>
              <w:rPr>
                <w:rFonts w:ascii="宋体" w:hAnsi="宋体" w:hint="eastAsia"/>
                <w:kern w:val="0"/>
                <w:sz w:val="22"/>
              </w:rPr>
              <w:t xml:space="preserve">审核材料        听取汇报  </w:t>
            </w:r>
          </w:p>
        </w:tc>
      </w:tr>
      <w:tr w:rsidR="00E7541A" w:rsidTr="00206B22">
        <w:trPr>
          <w:trHeight w:val="1080"/>
        </w:trPr>
        <w:tc>
          <w:tcPr>
            <w:tcW w:w="950" w:type="dxa"/>
            <w:gridSpan w:val="2"/>
            <w:vMerge/>
            <w:tcBorders>
              <w:top w:val="single" w:sz="4" w:space="0" w:color="auto"/>
              <w:left w:val="single" w:sz="4" w:space="0" w:color="auto"/>
              <w:bottom w:val="nil"/>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nil"/>
              <w:right w:val="single" w:sz="4" w:space="0" w:color="auto"/>
            </w:tcBorders>
            <w:shd w:val="clear" w:color="auto" w:fill="auto"/>
            <w:vAlign w:val="center"/>
          </w:tcPr>
          <w:p w:rsidR="00E7541A" w:rsidRDefault="00E7541A" w:rsidP="00206B22">
            <w:pPr>
              <w:widowControl/>
              <w:jc w:val="left"/>
              <w:rPr>
                <w:rFonts w:ascii="宋体" w:hAnsi="宋体"/>
                <w:color w:val="000000"/>
                <w:kern w:val="0"/>
                <w:sz w:val="22"/>
              </w:rPr>
            </w:pP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17.落实纠风工作责任制，主要领导履行纠风第一责任人职责，班子成员严格执行“一岗双责”。定期召开专题会议，研究部署相关工作。</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2"/>
              </w:rPr>
            </w:pPr>
          </w:p>
        </w:tc>
      </w:tr>
      <w:tr w:rsidR="00E7541A" w:rsidTr="00206B22">
        <w:trPr>
          <w:trHeight w:val="1145"/>
        </w:trPr>
        <w:tc>
          <w:tcPr>
            <w:tcW w:w="9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br/>
            </w:r>
            <w:r>
              <w:rPr>
                <w:rFonts w:ascii="宋体" w:hAnsi="宋体" w:hint="eastAsia"/>
                <w:color w:val="000000"/>
                <w:kern w:val="0"/>
                <w:sz w:val="20"/>
                <w:szCs w:val="20"/>
              </w:rPr>
              <w:br/>
            </w:r>
            <w:r>
              <w:rPr>
                <w:rFonts w:ascii="宋体" w:hAnsi="宋体" w:hint="eastAsia"/>
                <w:color w:val="000000"/>
                <w:kern w:val="0"/>
                <w:sz w:val="20"/>
                <w:szCs w:val="20"/>
              </w:rPr>
              <w:br/>
            </w:r>
            <w:r>
              <w:rPr>
                <w:rFonts w:ascii="宋体" w:hAnsi="宋体" w:hint="eastAsia"/>
                <w:color w:val="000000"/>
                <w:kern w:val="0"/>
                <w:sz w:val="20"/>
                <w:szCs w:val="20"/>
              </w:rPr>
              <w:lastRenderedPageBreak/>
              <w:t>Ⅱ</w:t>
            </w:r>
            <w:r>
              <w:rPr>
                <w:rFonts w:ascii="宋体" w:hAnsi="宋体" w:hint="eastAsia"/>
                <w:color w:val="000000"/>
                <w:kern w:val="0"/>
                <w:sz w:val="20"/>
                <w:szCs w:val="20"/>
              </w:rPr>
              <w:br/>
              <w:t>基层党建扎实    创建管理规范</w:t>
            </w:r>
            <w:r>
              <w:rPr>
                <w:rFonts w:ascii="宋体" w:hAnsi="宋体" w:hint="eastAsia"/>
                <w:color w:val="000000"/>
                <w:kern w:val="0"/>
                <w:sz w:val="20"/>
                <w:szCs w:val="20"/>
              </w:rPr>
              <w:br/>
              <w:t>（21分）</w:t>
            </w:r>
          </w:p>
        </w:tc>
        <w:tc>
          <w:tcPr>
            <w:tcW w:w="13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lastRenderedPageBreak/>
              <w:t>Ⅱ－１</w:t>
            </w:r>
            <w:r>
              <w:rPr>
                <w:rFonts w:ascii="宋体" w:hAnsi="宋体" w:hint="eastAsia"/>
                <w:color w:val="000000"/>
                <w:kern w:val="0"/>
                <w:sz w:val="20"/>
                <w:szCs w:val="20"/>
              </w:rPr>
              <w:br/>
              <w:t>班子建设</w:t>
            </w:r>
            <w:r>
              <w:rPr>
                <w:rFonts w:ascii="宋体" w:hAnsi="宋体" w:hint="eastAsia"/>
                <w:color w:val="000000"/>
                <w:kern w:val="0"/>
                <w:sz w:val="20"/>
                <w:szCs w:val="20"/>
              </w:rPr>
              <w:br/>
              <w:t>（2分）</w:t>
            </w: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 xml:space="preserve">18.建立健全党委领导下的院长负责制，发挥院级党组织把方向、管大局、作决策、促改革、保落实的领导作用。完善党组织与行政领导班子议事决策制度，做到科学决策、民主决策、依法决策。                                                                        </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审核材料        听取汇报        听取意见      </w:t>
            </w:r>
          </w:p>
        </w:tc>
      </w:tr>
      <w:tr w:rsidR="00E7541A" w:rsidTr="00206B22">
        <w:trPr>
          <w:trHeight w:val="720"/>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 xml:space="preserve">19.领导班子分工明确，协同配合，团结和谐。民主生活会批评和自我批评坦诚。年度考核中群众满意度≥85%。                                               </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1140"/>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color w:val="000000"/>
                <w:kern w:val="0"/>
                <w:sz w:val="20"/>
                <w:szCs w:val="20"/>
              </w:rPr>
            </w:pPr>
            <w:bookmarkStart w:id="1" w:name="RANGE!C22:C24"/>
            <w:r>
              <w:rPr>
                <w:rFonts w:ascii="宋体" w:hAnsi="宋体" w:hint="eastAsia"/>
                <w:color w:val="000000"/>
                <w:kern w:val="0"/>
                <w:sz w:val="20"/>
                <w:szCs w:val="20"/>
              </w:rPr>
              <w:t xml:space="preserve">Ⅱ－2 </w:t>
            </w:r>
            <w:r>
              <w:rPr>
                <w:rFonts w:ascii="宋体" w:hAnsi="宋体" w:hint="eastAsia"/>
                <w:color w:val="000000"/>
                <w:kern w:val="0"/>
                <w:sz w:val="20"/>
                <w:szCs w:val="20"/>
              </w:rPr>
              <w:br/>
              <w:t>意识形态</w:t>
            </w:r>
            <w:r>
              <w:rPr>
                <w:rFonts w:ascii="宋体" w:hAnsi="宋体" w:hint="eastAsia"/>
                <w:color w:val="000000"/>
                <w:kern w:val="0"/>
                <w:sz w:val="20"/>
                <w:szCs w:val="20"/>
              </w:rPr>
              <w:br/>
              <w:t>（3分）</w:t>
            </w:r>
            <w:bookmarkEnd w:id="1"/>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 xml:space="preserve">20.根据中央、市委以及市教卫工作党委的文件精神和工作部署，研究制定意识形态工作责任制实施方案；针对意识形态重点工作，制定专门的工作计划和举措。                                                        </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审核材料        听取汇报        听取意见</w:t>
            </w:r>
          </w:p>
        </w:tc>
      </w:tr>
      <w:tr w:rsidR="00E7541A" w:rsidTr="00206B22">
        <w:trPr>
          <w:trHeight w:val="1260"/>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 xml:space="preserve">21.落实党委意识形态工作责任制，建立健全党组织统一领导、党政齐抓共管、宣传部门组织协调、有关部门分工负责的意识形态工作格局，把意识形态工作作为党建工作的重要内容，与中心工作同部署、同落实、同检查、同考核。                                                                    </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1325"/>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22.对本单位党委意识形态工作做出规划并部署，党组织切实承担好意识形态工作,建立完善意识形态工作体系和制度体系。管好医院学术论坛、期刊出版物、课堂教学、新媒体等各类思想文化阵地，在教学科研管理等重大事项和人才引进、学术活动、对外交流等重大问题上把好政治关。</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480"/>
        </w:trPr>
        <w:tc>
          <w:tcPr>
            <w:tcW w:w="95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 xml:space="preserve">Ⅱ－3　</w:t>
            </w:r>
            <w:r>
              <w:rPr>
                <w:rFonts w:ascii="宋体" w:hAnsi="宋体" w:hint="eastAsia"/>
                <w:color w:val="000000"/>
                <w:kern w:val="0"/>
                <w:sz w:val="20"/>
                <w:szCs w:val="20"/>
              </w:rPr>
              <w:br/>
              <w:t>组织建设</w:t>
            </w:r>
            <w:r>
              <w:rPr>
                <w:rFonts w:ascii="宋体" w:hAnsi="宋体" w:hint="eastAsia"/>
                <w:color w:val="000000"/>
                <w:kern w:val="0"/>
                <w:sz w:val="20"/>
                <w:szCs w:val="20"/>
              </w:rPr>
              <w:br/>
              <w:t>（4分）</w:t>
            </w: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23.严格按照《党政领导干部选拔任用工作条例》规定的原则、条件、程序和纪律选拔任用干部。</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审核材料        听取汇报        听取意见</w:t>
            </w:r>
          </w:p>
        </w:tc>
      </w:tr>
      <w:tr w:rsidR="00E7541A" w:rsidTr="00206B22">
        <w:trPr>
          <w:trHeight w:val="1055"/>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tcPr>
          <w:p w:rsidR="00E7541A" w:rsidRDefault="00E7541A" w:rsidP="00206B22">
            <w:pPr>
              <w:widowControl/>
              <w:jc w:val="left"/>
              <w:rPr>
                <w:rFonts w:ascii="宋体" w:hAnsi="宋体"/>
                <w:kern w:val="0"/>
                <w:sz w:val="20"/>
                <w:szCs w:val="20"/>
              </w:rPr>
            </w:pPr>
            <w:r>
              <w:rPr>
                <w:rFonts w:ascii="宋体" w:hAnsi="宋体" w:hint="eastAsia"/>
                <w:kern w:val="0"/>
                <w:sz w:val="20"/>
                <w:szCs w:val="20"/>
              </w:rPr>
              <w:t>24.党组织建设有计划、有制度、有载体。基层党组织设置科学,党支部战斗堡垒作用和党员先锋模范作用在民主评议中得到认可。党组织按期换届，突出政治功能建设，参与内设机构重大问题的决策。落实党务公开,保障党员知情权、参与权、选举权、监督权。</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795"/>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tcPr>
          <w:p w:rsidR="00E7541A" w:rsidRDefault="00E7541A" w:rsidP="00206B22">
            <w:pPr>
              <w:widowControl/>
              <w:jc w:val="left"/>
              <w:rPr>
                <w:rFonts w:ascii="宋体" w:hAnsi="宋体"/>
                <w:kern w:val="0"/>
                <w:sz w:val="20"/>
                <w:szCs w:val="20"/>
              </w:rPr>
            </w:pPr>
            <w:r>
              <w:rPr>
                <w:rFonts w:ascii="宋体" w:hAnsi="宋体" w:hint="eastAsia"/>
                <w:kern w:val="0"/>
                <w:sz w:val="20"/>
                <w:szCs w:val="20"/>
              </w:rPr>
              <w:t xml:space="preserve">25.建立“不忘初心、牢记使命”长效机制，严格执行“三会一课”、组织生活会、民主评议党员等制度。积极推广主题党日活动。落实党务公开,保障党员民主权利。                                   </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885"/>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tcPr>
          <w:p w:rsidR="00E7541A" w:rsidRDefault="00E7541A" w:rsidP="00206B22">
            <w:pPr>
              <w:widowControl/>
              <w:jc w:val="left"/>
              <w:rPr>
                <w:rFonts w:ascii="宋体" w:hAnsi="宋体"/>
                <w:kern w:val="0"/>
                <w:sz w:val="20"/>
                <w:szCs w:val="20"/>
              </w:rPr>
            </w:pPr>
            <w:r>
              <w:rPr>
                <w:rFonts w:ascii="宋体" w:hAnsi="宋体" w:hint="eastAsia"/>
                <w:kern w:val="0"/>
                <w:sz w:val="20"/>
                <w:szCs w:val="20"/>
              </w:rPr>
              <w:t>26.规范党员发展程序，严格把好“发展关”和“转正关”。积极培养入党积极分子。建立党员领导班子成员联系培养入党积极分子制度，完善把业务骨干培养成党员，把党员培养成医疗、教学、科研、管理骨干的“双培养”机制。</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1200"/>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 xml:space="preserve">Ⅱ－4　</w:t>
            </w:r>
            <w:r>
              <w:rPr>
                <w:rFonts w:ascii="宋体" w:hAnsi="宋体" w:hint="eastAsia"/>
                <w:color w:val="000000"/>
                <w:kern w:val="0"/>
                <w:sz w:val="20"/>
                <w:szCs w:val="20"/>
              </w:rPr>
              <w:br/>
              <w:t>党风廉政</w:t>
            </w:r>
            <w:r>
              <w:rPr>
                <w:rFonts w:ascii="宋体" w:hAnsi="宋体" w:hint="eastAsia"/>
                <w:color w:val="000000"/>
                <w:kern w:val="0"/>
                <w:sz w:val="20"/>
                <w:szCs w:val="20"/>
              </w:rPr>
              <w:br/>
              <w:t>（5分）</w:t>
            </w: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27.落实院级党组织主体责任和纪委监督责任，落实党政班子成员“一岗双责”，落实干部述职述廉及重大事项请示报告、个人有关事项报告、干部廉政谈话和对违纪违规问责制度。对医院内的信访举报和违纪违规问题查处及时。</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审核材料        听取汇报        听取意见</w:t>
            </w:r>
          </w:p>
        </w:tc>
      </w:tr>
      <w:tr w:rsidR="00E7541A" w:rsidTr="00206B22">
        <w:trPr>
          <w:trHeight w:val="840"/>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28.对财务、基建、药品和医疗器械采购、人事管理等重点领域有严格和完善的廉政风险防控机制。</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525"/>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29.对干部党员和职工开展经常性的反腐倡廉、廉洁行医的宣传和警示教育。</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50"/>
        </w:trPr>
        <w:tc>
          <w:tcPr>
            <w:tcW w:w="95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shd w:val="clear" w:color="000000" w:fill="FFFFFF"/>
          </w:tcPr>
          <w:p w:rsidR="00E7541A" w:rsidRDefault="00E7541A" w:rsidP="00206B22">
            <w:pPr>
              <w:widowControl/>
              <w:jc w:val="left"/>
              <w:rPr>
                <w:rFonts w:ascii="宋体" w:hAnsi="宋体"/>
                <w:kern w:val="0"/>
                <w:sz w:val="20"/>
                <w:szCs w:val="20"/>
              </w:rPr>
            </w:pPr>
            <w:r>
              <w:rPr>
                <w:rFonts w:ascii="宋体" w:hAnsi="宋体" w:hint="eastAsia"/>
                <w:kern w:val="0"/>
                <w:sz w:val="20"/>
                <w:szCs w:val="20"/>
              </w:rPr>
              <w:t>30.严格贯彻落实中央八项规定精神，形成整治“四风”的长效机制，“三公”经费支出规范。领导干部严格遵守廉洁自律的各项规定，员工没有收受“红包”“回扣”等违规违纪现象。</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2</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00"/>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 xml:space="preserve">Ⅱ－5　</w:t>
            </w:r>
            <w:r>
              <w:rPr>
                <w:rFonts w:ascii="宋体" w:hAnsi="宋体" w:hint="eastAsia"/>
                <w:color w:val="000000"/>
                <w:kern w:val="0"/>
                <w:sz w:val="20"/>
                <w:szCs w:val="20"/>
              </w:rPr>
              <w:br/>
              <w:t>创建管理</w:t>
            </w:r>
            <w:r>
              <w:rPr>
                <w:rFonts w:ascii="宋体" w:hAnsi="宋体" w:hint="eastAsia"/>
                <w:color w:val="000000"/>
                <w:kern w:val="0"/>
                <w:sz w:val="20"/>
                <w:szCs w:val="20"/>
              </w:rPr>
              <w:br/>
              <w:t>（4分）</w:t>
            </w: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31.重视文明单位创建工作，将创建工作列入党政议事日程，有创建规划，目标明确、计划周全，有具体措施，有经费投入，有专人负责。</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审核材料        听取汇报        听取意见</w:t>
            </w:r>
          </w:p>
        </w:tc>
      </w:tr>
      <w:tr w:rsidR="00E7541A" w:rsidTr="00206B22">
        <w:trPr>
          <w:trHeight w:val="450"/>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32.积极开展“建文明班组、创文明岗位、做文明职工”等群众性创建活动，并形成长效机制。</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480"/>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33.结合行业特点，积极开展“文明修身”主题活动和网络文明能量大放送活动。</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480"/>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 xml:space="preserve">34.无违反计划生育管理规定。                                                                       </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900"/>
        </w:trPr>
        <w:tc>
          <w:tcPr>
            <w:tcW w:w="95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 xml:space="preserve">Ⅱ－6　</w:t>
            </w:r>
            <w:r>
              <w:rPr>
                <w:rFonts w:ascii="宋体" w:hAnsi="宋体" w:hint="eastAsia"/>
                <w:color w:val="000000"/>
                <w:kern w:val="0"/>
                <w:sz w:val="20"/>
                <w:szCs w:val="20"/>
              </w:rPr>
              <w:br/>
              <w:t>群众工作</w:t>
            </w:r>
            <w:r>
              <w:rPr>
                <w:rFonts w:ascii="宋体" w:hAnsi="宋体" w:hint="eastAsia"/>
                <w:color w:val="000000"/>
                <w:kern w:val="0"/>
                <w:sz w:val="20"/>
                <w:szCs w:val="20"/>
              </w:rPr>
              <w:br/>
              <w:t>（3分）</w:t>
            </w:r>
          </w:p>
        </w:tc>
        <w:tc>
          <w:tcPr>
            <w:tcW w:w="9628" w:type="dxa"/>
            <w:gridSpan w:val="2"/>
            <w:tcBorders>
              <w:top w:val="single" w:sz="4" w:space="0" w:color="auto"/>
              <w:left w:val="nil"/>
              <w:bottom w:val="single" w:sz="4" w:space="0" w:color="auto"/>
              <w:right w:val="single" w:sz="4" w:space="0" w:color="000000"/>
            </w:tcBorders>
            <w:shd w:val="clear" w:color="000000" w:fill="FFFFFF"/>
          </w:tcPr>
          <w:p w:rsidR="00E7541A" w:rsidRDefault="00E7541A" w:rsidP="00206B22">
            <w:pPr>
              <w:widowControl/>
              <w:jc w:val="left"/>
              <w:rPr>
                <w:rFonts w:ascii="宋体" w:hAnsi="宋体"/>
                <w:kern w:val="0"/>
                <w:sz w:val="20"/>
                <w:szCs w:val="20"/>
              </w:rPr>
            </w:pPr>
            <w:r>
              <w:rPr>
                <w:rFonts w:ascii="宋体" w:hAnsi="宋体" w:hint="eastAsia"/>
                <w:kern w:val="0"/>
                <w:sz w:val="20"/>
                <w:szCs w:val="20"/>
              </w:rPr>
              <w:t xml:space="preserve">35.持续开展工会“职工之家”创建，坚持和完善以职代会为基本形式的民主管理制度，开展院务公开和民主评议领导干部，职工满意率≥90%。工会会员（代表）大会对工会工作满意率≥85%。建立领导联系群众制度，职工提出意见、建议和申诉渠道通畅。无重大干群纠纷。                                                            </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审核材料        听取汇报        听取意见      </w:t>
            </w:r>
          </w:p>
        </w:tc>
      </w:tr>
      <w:tr w:rsidR="00E7541A" w:rsidTr="00206B22">
        <w:trPr>
          <w:trHeight w:val="675"/>
        </w:trPr>
        <w:tc>
          <w:tcPr>
            <w:tcW w:w="95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shd w:val="clear" w:color="000000" w:fill="FFFFFF"/>
          </w:tcPr>
          <w:p w:rsidR="00E7541A" w:rsidRDefault="00E7541A" w:rsidP="00206B22">
            <w:pPr>
              <w:widowControl/>
              <w:jc w:val="left"/>
              <w:rPr>
                <w:rFonts w:ascii="宋体" w:hAnsi="宋体"/>
                <w:kern w:val="0"/>
                <w:sz w:val="20"/>
                <w:szCs w:val="20"/>
              </w:rPr>
            </w:pPr>
            <w:r>
              <w:rPr>
                <w:rFonts w:ascii="宋体" w:hAnsi="宋体" w:hint="eastAsia"/>
                <w:kern w:val="0"/>
                <w:sz w:val="20"/>
                <w:szCs w:val="20"/>
              </w:rPr>
              <w:t xml:space="preserve">36.关心职工工作、学习、生活和健康，有政策措施保障，解决职工实际困难，维护包括非正式职工在内的群众合法权益。在职职工工会会员办卡率100%。育龄女职工人数超过50%，须建立爱心妈咪小屋。                                          </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00"/>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37.关心青年成长进步，广泛搭建助力青年岗位成才的平台；积极开展“青年文明号”创建工作，倡导职业文明，形成长效机制。</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830"/>
        </w:trPr>
        <w:tc>
          <w:tcPr>
            <w:tcW w:w="950" w:type="dxa"/>
            <w:gridSpan w:val="2"/>
            <w:vMerge w:val="restart"/>
            <w:tcBorders>
              <w:top w:val="single" w:sz="4" w:space="0" w:color="auto"/>
              <w:left w:val="single" w:sz="4" w:space="0" w:color="auto"/>
              <w:bottom w:val="nil"/>
              <w:right w:val="single" w:sz="4" w:space="0" w:color="000000"/>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lastRenderedPageBreak/>
              <w:t>Ⅲ</w:t>
            </w:r>
            <w:r>
              <w:rPr>
                <w:rFonts w:ascii="宋体" w:hAnsi="宋体" w:hint="eastAsia"/>
                <w:color w:val="000000"/>
                <w:kern w:val="0"/>
                <w:sz w:val="20"/>
                <w:szCs w:val="20"/>
              </w:rPr>
              <w:br/>
              <w:t>文明规范服务    便民利民惠民  （30分）</w:t>
            </w:r>
          </w:p>
        </w:tc>
        <w:tc>
          <w:tcPr>
            <w:tcW w:w="133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Ⅲ-1</w:t>
            </w:r>
            <w:r>
              <w:rPr>
                <w:rFonts w:ascii="宋体" w:hAnsi="宋体" w:hint="eastAsia"/>
                <w:color w:val="000000"/>
                <w:kern w:val="0"/>
                <w:sz w:val="20"/>
                <w:szCs w:val="20"/>
              </w:rPr>
              <w:br/>
              <w:t>环境流程</w:t>
            </w:r>
            <w:r>
              <w:rPr>
                <w:rFonts w:ascii="宋体" w:hAnsi="宋体" w:hint="eastAsia"/>
                <w:color w:val="000000"/>
                <w:kern w:val="0"/>
                <w:sz w:val="20"/>
                <w:szCs w:val="20"/>
              </w:rPr>
              <w:br/>
              <w:t>（4.5分）</w:t>
            </w:r>
          </w:p>
        </w:tc>
        <w:tc>
          <w:tcPr>
            <w:tcW w:w="9628" w:type="dxa"/>
            <w:gridSpan w:val="2"/>
            <w:tcBorders>
              <w:top w:val="single" w:sz="4" w:space="0" w:color="auto"/>
              <w:left w:val="nil"/>
              <w:bottom w:val="single" w:sz="4" w:space="0" w:color="auto"/>
              <w:right w:val="single" w:sz="4" w:space="0" w:color="000000"/>
            </w:tcBorders>
          </w:tcPr>
          <w:p w:rsidR="00E7541A" w:rsidRDefault="00E7541A" w:rsidP="00206B22">
            <w:pPr>
              <w:widowControl/>
              <w:jc w:val="left"/>
              <w:rPr>
                <w:rFonts w:ascii="宋体" w:hAnsi="宋体"/>
                <w:kern w:val="0"/>
                <w:sz w:val="20"/>
                <w:szCs w:val="20"/>
              </w:rPr>
            </w:pPr>
            <w:r>
              <w:rPr>
                <w:rFonts w:ascii="宋体" w:hAnsi="宋体" w:hint="eastAsia"/>
                <w:kern w:val="0"/>
                <w:sz w:val="20"/>
                <w:szCs w:val="20"/>
              </w:rPr>
              <w:t>38.布局流程，合理便捷。不断优化就医布局和流程，便捷病患就诊环节；推行网络预约挂号、挂号收费通柜服务、自助服务，就诊高峰时段开足服务窗口，按需设置楼层收费点。社区卫生服务中心设置卫生站点。</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现场查看</w:t>
            </w:r>
          </w:p>
        </w:tc>
      </w:tr>
      <w:tr w:rsidR="00E7541A" w:rsidTr="00206B22">
        <w:trPr>
          <w:trHeight w:val="77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tcPr>
          <w:p w:rsidR="00E7541A" w:rsidRDefault="00E7541A" w:rsidP="00206B22">
            <w:pPr>
              <w:widowControl/>
              <w:jc w:val="left"/>
              <w:rPr>
                <w:rFonts w:ascii="宋体" w:hAnsi="宋体"/>
                <w:kern w:val="0"/>
                <w:sz w:val="20"/>
                <w:szCs w:val="20"/>
              </w:rPr>
            </w:pPr>
            <w:r>
              <w:rPr>
                <w:rFonts w:ascii="宋体" w:hAnsi="宋体" w:hint="eastAsia"/>
                <w:kern w:val="0"/>
                <w:sz w:val="20"/>
                <w:szCs w:val="20"/>
              </w:rPr>
              <w:t>39.指示标识，清晰明了。按科室、病区布局设置统一、醒目、规范的指示标识，二甲以上医院完善中英文标识，规范使用汉字。加强导医和巡视力量，方便患者就医。</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900"/>
        </w:trPr>
        <w:tc>
          <w:tcPr>
            <w:tcW w:w="950" w:type="dxa"/>
            <w:gridSpan w:val="2"/>
            <w:vMerge/>
            <w:tcBorders>
              <w:top w:val="single" w:sz="4" w:space="0" w:color="auto"/>
              <w:left w:val="single" w:sz="4" w:space="0" w:color="auto"/>
              <w:bottom w:val="nil"/>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40.医院环境，整洁安全。院容院貌整洁优美，设施安全；厕所清洁卫生无异味；病媒生物防治措施落实，全面控制四害孳生场所，防鼠防蝇设施完善；二次供水和集中空调通风系统卫生管理符合要求，按规定对医疗废物、一次性耗材分类收集和处置。</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375"/>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Ⅲ-2</w:t>
            </w:r>
            <w:r>
              <w:rPr>
                <w:rFonts w:ascii="宋体" w:hAnsi="宋体" w:hint="eastAsia"/>
                <w:color w:val="000000"/>
                <w:kern w:val="0"/>
                <w:sz w:val="20"/>
                <w:szCs w:val="20"/>
              </w:rPr>
              <w:br/>
              <w:t>举止礼仪</w:t>
            </w:r>
            <w:r>
              <w:rPr>
                <w:rFonts w:ascii="宋体" w:hAnsi="宋体" w:hint="eastAsia"/>
                <w:color w:val="000000"/>
                <w:kern w:val="0"/>
                <w:sz w:val="20"/>
                <w:szCs w:val="20"/>
              </w:rPr>
              <w:br/>
              <w:t>（4.5分）</w:t>
            </w: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41.仪容仪表，端庄大方。按规定统一着装，服装整洁，挂牌上岗，塑造医务人员良好形象。</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val="restart"/>
            <w:tcBorders>
              <w:top w:val="nil"/>
              <w:left w:val="single" w:sz="4" w:space="0" w:color="auto"/>
              <w:bottom w:val="single" w:sz="4" w:space="0" w:color="000000"/>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现场查看</w:t>
            </w:r>
          </w:p>
        </w:tc>
      </w:tr>
      <w:tr w:rsidR="00E7541A" w:rsidTr="00206B22">
        <w:trPr>
          <w:trHeight w:val="48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42.诊疗服务，文明有礼。接待患者，请字当先，多用礼貌用语，多用安慰性语言，多沟通交流。</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45"/>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43.行为举止，规范得体。加强医务人员行为礼仪和操作培训，做到“四轻”：走路轻、说话轻、操作轻、动作轻，在医疗服务全过程体现医务人员的职业素养。</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75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Ⅲ-3</w:t>
            </w:r>
            <w:r>
              <w:rPr>
                <w:rFonts w:ascii="宋体" w:hAnsi="宋体" w:hint="eastAsia"/>
                <w:color w:val="000000"/>
                <w:kern w:val="0"/>
                <w:sz w:val="20"/>
                <w:szCs w:val="20"/>
              </w:rPr>
              <w:br/>
              <w:t>信息公开</w:t>
            </w:r>
            <w:r>
              <w:rPr>
                <w:rFonts w:ascii="宋体" w:hAnsi="宋体" w:hint="eastAsia"/>
                <w:color w:val="000000"/>
                <w:kern w:val="0"/>
                <w:sz w:val="20"/>
                <w:szCs w:val="20"/>
              </w:rPr>
              <w:br/>
              <w:t>（3分）</w:t>
            </w: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44.医疗收费，规范公开。公示收费项目，配备完好电子触摸询价设施，实行门急诊收费明细账单制和住院费用“一日清单制”，方便患者查询；及时公布政府调价信息，严格执行医疗服务收费标准，杜绝乱收费现象，降低收费差错率。</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听取汇报       现场查看</w:t>
            </w:r>
          </w:p>
        </w:tc>
      </w:tr>
      <w:tr w:rsidR="00E7541A" w:rsidTr="00206B22">
        <w:trPr>
          <w:trHeight w:val="675"/>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45.服务须知，公示醒目。公开门急诊、住院服务须知和窗口服务规范；公开便民服务措施；公开监督电话、投诉信箱；公示领导接待日时间和地点。</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3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Ⅲ-4</w:t>
            </w:r>
            <w:r>
              <w:rPr>
                <w:rFonts w:ascii="宋体" w:hAnsi="宋体" w:hint="eastAsia"/>
                <w:color w:val="000000"/>
                <w:kern w:val="0"/>
                <w:sz w:val="20"/>
                <w:szCs w:val="20"/>
              </w:rPr>
              <w:br/>
              <w:t>服务质量</w:t>
            </w:r>
            <w:r>
              <w:rPr>
                <w:rFonts w:ascii="宋体" w:hAnsi="宋体" w:hint="eastAsia"/>
                <w:color w:val="000000"/>
                <w:kern w:val="0"/>
                <w:sz w:val="20"/>
                <w:szCs w:val="20"/>
              </w:rPr>
              <w:br/>
              <w:t>（7.5分）</w:t>
            </w: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46.信息更新，及时准确。落实专人负责医疗信息的更新维护，专家门诊停诊或时间变动、节假日门诊停诊、布局流程调整等信息发布及时准确，避免患者无效往返。</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val="restart"/>
            <w:tcBorders>
              <w:top w:val="nil"/>
              <w:left w:val="single" w:sz="4" w:space="0" w:color="auto"/>
              <w:bottom w:val="single" w:sz="4" w:space="0" w:color="000000"/>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现场查看</w:t>
            </w:r>
          </w:p>
        </w:tc>
      </w:tr>
      <w:tr w:rsidR="00E7541A" w:rsidTr="00206B22">
        <w:trPr>
          <w:trHeight w:val="78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47.服务态度，亲切温馨。使用医疗服务文明规范用语，不讲服务忌语，倡导“微笑服务”，热情、礼貌接待病人，推广首句使用普通话，实行首问（诊）负责制；不以床号替代姓名称呼病人，对所有病患一视同仁。</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585"/>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48.诊疗过程，敬业专注。诊疗过程，认真负责，工作时不闲聊，不讲与工作无关的话，不做与工作无关的事。</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750"/>
        </w:trPr>
        <w:tc>
          <w:tcPr>
            <w:tcW w:w="950" w:type="dxa"/>
            <w:gridSpan w:val="2"/>
            <w:vMerge/>
            <w:tcBorders>
              <w:top w:val="single" w:sz="4" w:space="0" w:color="auto"/>
              <w:left w:val="single" w:sz="4" w:space="0" w:color="auto"/>
              <w:bottom w:val="nil"/>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49.危重抢救，反应快速。绿色通道通畅，院前院内衔接顺畅，落实书面交接制度，抢救设备完好，医务人员技术操作熟练，抢救室无长时间滞留患者，为危重患者提供护送、推车等服务。实行分级诊疗制度。</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90"/>
        </w:trPr>
        <w:tc>
          <w:tcPr>
            <w:tcW w:w="950" w:type="dxa"/>
            <w:gridSpan w:val="2"/>
            <w:vMerge/>
            <w:tcBorders>
              <w:top w:val="single" w:sz="4" w:space="0" w:color="auto"/>
              <w:left w:val="single" w:sz="4" w:space="0" w:color="auto"/>
              <w:bottom w:val="nil"/>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50.住院治疗，悉心负责。落实床位医师和责任护士工作负责制，主动关心住院病人，及时了解患者需求、病情变化和心理状态，做好沟通、解释、治疗和宣教。</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765"/>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nil"/>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Ⅲ-5</w:t>
            </w:r>
            <w:r>
              <w:rPr>
                <w:rFonts w:ascii="宋体" w:hAnsi="宋体" w:hint="eastAsia"/>
                <w:color w:val="000000"/>
                <w:kern w:val="0"/>
                <w:sz w:val="20"/>
                <w:szCs w:val="20"/>
              </w:rPr>
              <w:br/>
              <w:t>便民举措</w:t>
            </w:r>
            <w:r>
              <w:rPr>
                <w:rFonts w:ascii="宋体" w:hAnsi="宋体" w:hint="eastAsia"/>
                <w:color w:val="000000"/>
                <w:kern w:val="0"/>
                <w:sz w:val="20"/>
                <w:szCs w:val="20"/>
              </w:rPr>
              <w:br/>
              <w:t>（6分）</w:t>
            </w: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51.候诊就医，文明有序。加强门急诊工作力量，增设专家、专病门诊；通过现场、网络、电话等途径开展分时段、实名制预约服务，引导患者预约就诊、错峰就诊，减少等候时间；使用电子排队叫号系统，引导患者有序文明就诊。</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val="restart"/>
            <w:tcBorders>
              <w:top w:val="nil"/>
              <w:left w:val="single" w:sz="4" w:space="0" w:color="auto"/>
              <w:bottom w:val="single" w:sz="4" w:space="0" w:color="000000"/>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现场查看</w:t>
            </w:r>
          </w:p>
        </w:tc>
      </w:tr>
      <w:tr w:rsidR="00E7541A" w:rsidTr="00206B22">
        <w:trPr>
          <w:trHeight w:val="113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nil"/>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tcPr>
          <w:p w:rsidR="00E7541A" w:rsidRDefault="00E7541A" w:rsidP="00206B22">
            <w:pPr>
              <w:widowControl/>
              <w:jc w:val="left"/>
              <w:rPr>
                <w:rFonts w:ascii="宋体" w:hAnsi="宋体"/>
                <w:kern w:val="0"/>
                <w:sz w:val="20"/>
                <w:szCs w:val="20"/>
              </w:rPr>
            </w:pPr>
            <w:r>
              <w:rPr>
                <w:rFonts w:ascii="宋体" w:hAnsi="宋体" w:hint="eastAsia"/>
                <w:kern w:val="0"/>
                <w:sz w:val="20"/>
                <w:szCs w:val="20"/>
              </w:rPr>
              <w:t>52.便民措施，细致周到。设置“统一标识、统一规范”的便民服务中心，提供导医、咨询、预约等服务；落实无障碍通道、茶水供应等便民措施；为来沪就诊等特殊病患提供便捷化服务；按要求配建母婴设施，并建立日常管理维护制度。</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555"/>
        </w:trPr>
        <w:tc>
          <w:tcPr>
            <w:tcW w:w="950" w:type="dxa"/>
            <w:gridSpan w:val="2"/>
            <w:vMerge/>
            <w:tcBorders>
              <w:top w:val="single" w:sz="4" w:space="0" w:color="auto"/>
              <w:left w:val="single" w:sz="4" w:space="0" w:color="auto"/>
              <w:bottom w:val="nil"/>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nil"/>
              <w:right w:val="single" w:sz="4" w:space="0" w:color="auto"/>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53.服务创新，持续探索。开展多学科诊疗、日间手术、延伸优质护理等创新举措。</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72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nil"/>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tcPr>
          <w:p w:rsidR="00E7541A" w:rsidRDefault="00E7541A" w:rsidP="00206B22">
            <w:pPr>
              <w:widowControl/>
              <w:jc w:val="left"/>
              <w:rPr>
                <w:rFonts w:ascii="宋体" w:hAnsi="宋体"/>
                <w:kern w:val="0"/>
                <w:sz w:val="20"/>
                <w:szCs w:val="20"/>
              </w:rPr>
            </w:pPr>
            <w:r>
              <w:rPr>
                <w:rFonts w:ascii="宋体" w:hAnsi="宋体" w:hint="eastAsia"/>
                <w:kern w:val="0"/>
                <w:sz w:val="20"/>
                <w:szCs w:val="20"/>
              </w:rPr>
              <w:t>54.健康教育，形式多样。结合实际，通过讲座、册页、板报、宣传栏、网络、公众号、视频等多种形式，开展生动形象的健康教育，增强市民和患者的健康保健意识。</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78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Ⅲ-6</w:t>
            </w:r>
            <w:r>
              <w:rPr>
                <w:rFonts w:ascii="宋体" w:hAnsi="宋体" w:hint="eastAsia"/>
                <w:color w:val="000000"/>
                <w:kern w:val="0"/>
                <w:sz w:val="20"/>
                <w:szCs w:val="20"/>
              </w:rPr>
              <w:br/>
              <w:t>医患关系</w:t>
            </w:r>
            <w:r>
              <w:rPr>
                <w:rFonts w:ascii="宋体" w:hAnsi="宋体" w:hint="eastAsia"/>
                <w:color w:val="000000"/>
                <w:kern w:val="0"/>
                <w:sz w:val="20"/>
                <w:szCs w:val="20"/>
              </w:rPr>
              <w:br/>
              <w:t>（4.5分）</w:t>
            </w: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55.患者隐私，尊重保护。不随意谈论患者病情，对患者进行体检、影像检查、心电图检查和身体隐私部位治疗时有遮隔措施；妥善保管病史和检查资料；倡导“一人一诊室”，劝阻入诊室围观者。</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val="restart"/>
            <w:tcBorders>
              <w:top w:val="nil"/>
              <w:left w:val="single" w:sz="4" w:space="0" w:color="auto"/>
              <w:bottom w:val="single" w:sz="4" w:space="0" w:color="000000"/>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现场查看</w:t>
            </w:r>
          </w:p>
        </w:tc>
      </w:tr>
      <w:tr w:rsidR="00E7541A" w:rsidTr="00206B22">
        <w:trPr>
          <w:trHeight w:val="66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tcPr>
          <w:p w:rsidR="00E7541A" w:rsidRDefault="00E7541A" w:rsidP="00206B22">
            <w:pPr>
              <w:widowControl/>
              <w:jc w:val="left"/>
              <w:rPr>
                <w:rFonts w:ascii="宋体" w:hAnsi="宋体"/>
                <w:kern w:val="0"/>
                <w:sz w:val="20"/>
                <w:szCs w:val="20"/>
              </w:rPr>
            </w:pPr>
            <w:r>
              <w:rPr>
                <w:rFonts w:ascii="宋体" w:hAnsi="宋体" w:hint="eastAsia"/>
                <w:kern w:val="0"/>
                <w:sz w:val="20"/>
                <w:szCs w:val="20"/>
              </w:rPr>
              <w:t>56.医患沟通，和谐互动。完善投诉处理机制和医患矛盾调处机制，倡导“首诉负责制”，建立健全医患矛盾突发事件处置机制，落实第三方调解制度和医责险制度，依法维护医疗服务秩序。</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15"/>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57.效果评估，科学及时。完善医疗服务评估机制，加强内部检查和社会督查。通过主动听取患者意见、发放意见征询表、对出院患者电话回访等方式，主动查找问题，持续改进工作。</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1.5</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45"/>
        </w:trPr>
        <w:tc>
          <w:tcPr>
            <w:tcW w:w="950" w:type="dxa"/>
            <w:gridSpan w:val="2"/>
            <w:vMerge w:val="restart"/>
            <w:tcBorders>
              <w:top w:val="single" w:sz="4" w:space="0" w:color="auto"/>
              <w:left w:val="single" w:sz="4" w:space="0" w:color="auto"/>
              <w:bottom w:val="nil"/>
              <w:right w:val="single" w:sz="4" w:space="0" w:color="000000"/>
            </w:tcBorders>
            <w:shd w:val="clear" w:color="auto" w:fill="auto"/>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br/>
              <w:t xml:space="preserve">Ⅳ             </w:t>
            </w:r>
            <w:r>
              <w:rPr>
                <w:rFonts w:ascii="宋体" w:hAnsi="宋体" w:hint="eastAsia"/>
                <w:color w:val="000000"/>
                <w:kern w:val="0"/>
                <w:sz w:val="20"/>
                <w:szCs w:val="20"/>
              </w:rPr>
              <w:lastRenderedPageBreak/>
              <w:t xml:space="preserve">医院管理科学        工作业绩明显     </w:t>
            </w:r>
            <w:r>
              <w:rPr>
                <w:rFonts w:ascii="宋体" w:hAnsi="宋体" w:hint="eastAsia"/>
                <w:color w:val="000000"/>
                <w:kern w:val="0"/>
                <w:sz w:val="20"/>
                <w:szCs w:val="20"/>
              </w:rPr>
              <w:br/>
              <w:t>（8分)</w:t>
            </w:r>
          </w:p>
        </w:tc>
        <w:tc>
          <w:tcPr>
            <w:tcW w:w="1333" w:type="dxa"/>
            <w:vMerge w:val="restart"/>
            <w:tcBorders>
              <w:top w:val="nil"/>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lastRenderedPageBreak/>
              <w:t xml:space="preserve">Ⅳ-1    </w:t>
            </w:r>
            <w:r>
              <w:rPr>
                <w:rFonts w:ascii="宋体" w:hAnsi="宋体" w:hint="eastAsia"/>
                <w:color w:val="000000"/>
                <w:kern w:val="0"/>
                <w:sz w:val="20"/>
                <w:szCs w:val="20"/>
              </w:rPr>
              <w:br/>
              <w:t xml:space="preserve"> 发展战略</w:t>
            </w:r>
            <w:r>
              <w:rPr>
                <w:rFonts w:ascii="宋体" w:hAnsi="宋体" w:hint="eastAsia"/>
                <w:color w:val="000000"/>
                <w:kern w:val="0"/>
                <w:sz w:val="20"/>
                <w:szCs w:val="20"/>
              </w:rPr>
              <w:br/>
              <w:t>（3分）</w:t>
            </w: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58.制定医院发展规划，办院定位清晰科学。实施国家《关于建立现代医院管理制度的指导意见》。</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审核材料        听取汇报        听取意见</w:t>
            </w:r>
          </w:p>
        </w:tc>
      </w:tr>
      <w:tr w:rsidR="00E7541A" w:rsidTr="00206B22">
        <w:trPr>
          <w:trHeight w:val="780"/>
        </w:trPr>
        <w:tc>
          <w:tcPr>
            <w:tcW w:w="950" w:type="dxa"/>
            <w:gridSpan w:val="2"/>
            <w:vMerge/>
            <w:tcBorders>
              <w:top w:val="single" w:sz="4" w:space="0" w:color="auto"/>
              <w:left w:val="single" w:sz="4" w:space="0" w:color="auto"/>
              <w:bottom w:val="nil"/>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59.积极承接国家、上海和区域医药卫生体制综合改革任务，加快现代医院管理制度建设、推进分级诊疗和医联体建设、实施医药分开、开展住院医师规范化培训等领域的改革取得积极成果。</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9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tcPr>
          <w:p w:rsidR="00E7541A" w:rsidRDefault="00E7541A" w:rsidP="00206B22">
            <w:pPr>
              <w:widowControl/>
              <w:jc w:val="left"/>
              <w:rPr>
                <w:rFonts w:ascii="宋体" w:hAnsi="宋体"/>
                <w:kern w:val="0"/>
                <w:sz w:val="20"/>
                <w:szCs w:val="20"/>
              </w:rPr>
            </w:pPr>
            <w:r>
              <w:rPr>
                <w:rFonts w:ascii="宋体" w:hAnsi="宋体" w:hint="eastAsia"/>
                <w:kern w:val="0"/>
                <w:sz w:val="20"/>
                <w:szCs w:val="20"/>
              </w:rPr>
              <w:t>60.重视员工素质提升，分层次、多元化的加强对行业员工的管理和培训，员工队伍稳定，文明素质高。职工毕业后教育覆盖率100%。学科建设和科研工作有保障、有成果。</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6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nil"/>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 xml:space="preserve">Ⅳ-2  </w:t>
            </w:r>
            <w:r>
              <w:rPr>
                <w:rFonts w:ascii="宋体" w:hAnsi="宋体" w:hint="eastAsia"/>
                <w:color w:val="000000"/>
                <w:kern w:val="0"/>
                <w:sz w:val="20"/>
                <w:szCs w:val="20"/>
              </w:rPr>
              <w:br/>
              <w:t>业务绩效</w:t>
            </w:r>
            <w:r>
              <w:rPr>
                <w:rFonts w:ascii="宋体" w:hAnsi="宋体" w:hint="eastAsia"/>
                <w:color w:val="000000"/>
                <w:kern w:val="0"/>
                <w:sz w:val="20"/>
                <w:szCs w:val="20"/>
              </w:rPr>
              <w:br/>
              <w:t>(</w:t>
            </w:r>
            <w:r>
              <w:rPr>
                <w:rFonts w:ascii="宋体" w:hAnsi="宋体" w:hint="eastAsia"/>
                <w:b/>
                <w:bCs/>
                <w:color w:val="000000"/>
                <w:kern w:val="0"/>
                <w:sz w:val="20"/>
                <w:szCs w:val="20"/>
              </w:rPr>
              <w:t>5</w:t>
            </w:r>
            <w:r>
              <w:rPr>
                <w:rFonts w:ascii="宋体" w:hAnsi="宋体" w:hint="eastAsia"/>
                <w:color w:val="000000"/>
                <w:kern w:val="0"/>
                <w:sz w:val="20"/>
                <w:szCs w:val="20"/>
              </w:rPr>
              <w:t xml:space="preserve">分) </w:t>
            </w: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61.根据行业主管部门要求，严格贯彻落实各项管理制度和办法，切实加强医疗质量与安全。严格执行卫生计生统计调查制度，依法依规上报统计数据。</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4</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审核材料        听取汇报        听取意见依据主管部门相关质量管理标准进行评分</w:t>
            </w:r>
          </w:p>
        </w:tc>
      </w:tr>
      <w:tr w:rsidR="00E7541A" w:rsidTr="00206B22">
        <w:trPr>
          <w:trHeight w:val="750"/>
        </w:trPr>
        <w:tc>
          <w:tcPr>
            <w:tcW w:w="950" w:type="dxa"/>
            <w:gridSpan w:val="2"/>
            <w:vMerge/>
            <w:tcBorders>
              <w:top w:val="single" w:sz="4" w:space="0" w:color="auto"/>
              <w:left w:val="single" w:sz="4" w:space="0" w:color="auto"/>
              <w:bottom w:val="nil"/>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nil"/>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62.建立健全职工基于岗位工作量、服务质量、服务效果、患者满意度等为基础的绩效考核评价机制，并作为收入分配、岗位评聘、评优奖惩等重要依据。</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780"/>
        </w:trPr>
        <w:tc>
          <w:tcPr>
            <w:tcW w:w="9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Ⅴ</w:t>
            </w:r>
            <w:r>
              <w:rPr>
                <w:rFonts w:ascii="宋体" w:hAnsi="宋体" w:hint="eastAsia"/>
                <w:color w:val="000000"/>
                <w:kern w:val="0"/>
                <w:sz w:val="20"/>
                <w:szCs w:val="20"/>
              </w:rPr>
              <w:br/>
              <w:t>社会责任落实    单位形象良好</w:t>
            </w:r>
            <w:r>
              <w:rPr>
                <w:rFonts w:ascii="宋体" w:hAnsi="宋体" w:hint="eastAsia"/>
                <w:color w:val="000000"/>
                <w:kern w:val="0"/>
                <w:sz w:val="20"/>
                <w:szCs w:val="20"/>
              </w:rPr>
              <w:br/>
              <w:t>（11分）</w:t>
            </w:r>
          </w:p>
        </w:tc>
        <w:tc>
          <w:tcPr>
            <w:tcW w:w="13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Ⅴ-1          环境建设      （4分）</w:t>
            </w: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63.建设节能、节水型单位，落实节能减排工作制度，完成年度节能减排工作任务目标；执行环保法规，排放环境指标、环境污染控制达标。贯彻《上海市控烟条例》，设置禁烟标识。主动劝阻吸烟行为，公共卫生场所达标。</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2</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审核材料        听取汇报        听取意见</w:t>
            </w:r>
          </w:p>
        </w:tc>
      </w:tr>
      <w:tr w:rsidR="00E7541A" w:rsidTr="00206B22">
        <w:trPr>
          <w:trHeight w:val="885"/>
        </w:trPr>
        <w:tc>
          <w:tcPr>
            <w:tcW w:w="95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64.开展综合治理工作，落实消防、保卫、安全生产、食品安全、治安防范措施，严格按照上级相关文件开展安全生产管理，进行安全宣传教育，无人员伤亡或其他重大社会影响的安全生产责任事故；按要求管控放射源、毒麻限制药、高致病性微生物。</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00"/>
        </w:trPr>
        <w:tc>
          <w:tcPr>
            <w:tcW w:w="95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65.做好食源性疾病监测和食品安全事故报告工作。推进“放心医院食堂”建设，保障医务人员和患者的饮食安全。</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750"/>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 xml:space="preserve"> Ⅴ -2    </w:t>
            </w:r>
            <w:r>
              <w:rPr>
                <w:rFonts w:ascii="宋体" w:hAnsi="宋体" w:hint="eastAsia"/>
                <w:color w:val="000000"/>
                <w:kern w:val="0"/>
                <w:sz w:val="20"/>
                <w:szCs w:val="20"/>
              </w:rPr>
              <w:br/>
              <w:t>信访工作</w:t>
            </w:r>
            <w:r>
              <w:rPr>
                <w:rFonts w:ascii="宋体" w:hAnsi="宋体" w:hint="eastAsia"/>
                <w:color w:val="000000"/>
                <w:kern w:val="0"/>
                <w:sz w:val="20"/>
                <w:szCs w:val="20"/>
              </w:rPr>
              <w:br/>
              <w:t xml:space="preserve">(2分) </w:t>
            </w: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66.信访工作制度化，有领导接待日，有制度、有措施。接受院外监督，公开办事程序，设置投诉电话、投诉箱，有制度、有记录、有处理、有落实；有专兼职信访干部。</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审核材料        听取汇报        听取意见</w:t>
            </w:r>
          </w:p>
        </w:tc>
      </w:tr>
      <w:tr w:rsidR="00E7541A" w:rsidTr="00206B22">
        <w:trPr>
          <w:trHeight w:val="660"/>
        </w:trPr>
        <w:tc>
          <w:tcPr>
            <w:tcW w:w="95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67.及时处理群众投诉和意见等信访事项，按规定及时回复办结；有效减少越级上访和非正常上访，积极配合政府主管部门处置上访事件，落实维护社会稳定工作责任。</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1050"/>
        </w:trPr>
        <w:tc>
          <w:tcPr>
            <w:tcW w:w="95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E7541A" w:rsidRDefault="00E7541A" w:rsidP="00206B22">
            <w:pPr>
              <w:widowControl/>
              <w:jc w:val="left"/>
              <w:rPr>
                <w:rFonts w:ascii="宋体" w:hAnsi="宋体"/>
                <w:color w:val="000000"/>
                <w:kern w:val="0"/>
                <w:sz w:val="20"/>
                <w:szCs w:val="20"/>
              </w:rPr>
            </w:pPr>
          </w:p>
        </w:tc>
        <w:tc>
          <w:tcPr>
            <w:tcW w:w="1333" w:type="dxa"/>
            <w:vMerge w:val="restart"/>
            <w:tcBorders>
              <w:top w:val="nil"/>
              <w:left w:val="single" w:sz="4" w:space="0" w:color="auto"/>
              <w:bottom w:val="single" w:sz="4" w:space="0" w:color="000000"/>
              <w:right w:val="single" w:sz="4" w:space="0" w:color="auto"/>
            </w:tcBorders>
            <w:shd w:val="clear" w:color="auto" w:fill="auto"/>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 xml:space="preserve">Ⅴ -3    </w:t>
            </w:r>
            <w:r>
              <w:rPr>
                <w:rFonts w:ascii="宋体" w:hAnsi="宋体" w:hint="eastAsia"/>
                <w:color w:val="000000"/>
                <w:kern w:val="0"/>
                <w:sz w:val="20"/>
                <w:szCs w:val="20"/>
              </w:rPr>
              <w:br/>
              <w:t>社会贡献</w:t>
            </w:r>
            <w:r>
              <w:rPr>
                <w:rFonts w:ascii="宋体" w:hAnsi="宋体" w:hint="eastAsia"/>
                <w:color w:val="000000"/>
                <w:kern w:val="0"/>
                <w:sz w:val="20"/>
                <w:szCs w:val="20"/>
              </w:rPr>
              <w:br/>
              <w:t>(5分)</w:t>
            </w:r>
          </w:p>
        </w:tc>
        <w:tc>
          <w:tcPr>
            <w:tcW w:w="9628" w:type="dxa"/>
            <w:gridSpan w:val="2"/>
            <w:tcBorders>
              <w:top w:val="single" w:sz="4" w:space="0" w:color="auto"/>
              <w:left w:val="nil"/>
              <w:bottom w:val="single" w:sz="4" w:space="0" w:color="auto"/>
              <w:right w:val="single" w:sz="4" w:space="0" w:color="000000"/>
            </w:tcBorders>
            <w:shd w:val="clear" w:color="000000" w:fill="FFFFFF"/>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68.围绕“一带一路”“健康中国”“健康上海”战略，积极承接国家援外医疗任务，参加各种社会援助、城市公共管理等实践活动；积极参加扶贫帮困、帮老助残、便民服务等各类志愿者活动，积极开展健康教育、健康促进等社会志愿者活动；项目丰富，成效显著。</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val="restart"/>
            <w:tcBorders>
              <w:top w:val="nil"/>
              <w:left w:val="single" w:sz="4" w:space="0" w:color="auto"/>
              <w:bottom w:val="single" w:sz="4" w:space="0" w:color="000000"/>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审核材料        听取汇报        听取意见</w:t>
            </w:r>
          </w:p>
        </w:tc>
      </w:tr>
      <w:tr w:rsidR="00E7541A" w:rsidTr="00206B22">
        <w:trPr>
          <w:trHeight w:val="640"/>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69.志愿者服务体系建设完善，职工志愿者覆盖率≥40%；党员中志愿者覆盖率≥90%；建立医务社工、医院志愿者服务活动长效机制。</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2</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640"/>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70.积极倡导自愿无偿献血，完成献血任务。</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kern w:val="0"/>
                <w:sz w:val="20"/>
                <w:szCs w:val="20"/>
              </w:rPr>
            </w:pPr>
          </w:p>
        </w:tc>
      </w:tr>
      <w:tr w:rsidR="00E7541A" w:rsidTr="00206B22">
        <w:trPr>
          <w:trHeight w:val="795"/>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宋体" w:hAnsi="宋体"/>
                <w:color w:val="000000"/>
                <w:kern w:val="0"/>
                <w:sz w:val="20"/>
                <w:szCs w:val="20"/>
              </w:rPr>
            </w:pPr>
          </w:p>
        </w:tc>
        <w:tc>
          <w:tcPr>
            <w:tcW w:w="133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宋体" w:hAnsi="宋体"/>
                <w:color w:val="000000"/>
                <w:kern w:val="0"/>
                <w:sz w:val="20"/>
                <w:szCs w:val="20"/>
              </w:rPr>
            </w:pPr>
          </w:p>
        </w:tc>
        <w:tc>
          <w:tcPr>
            <w:tcW w:w="962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71.积极与所在地区的部队、学校、企事业单位开展同创共建活动，参加社区精神文明建设各类主题实践活动及学习型社区建设。</w:t>
            </w:r>
          </w:p>
        </w:tc>
        <w:tc>
          <w:tcPr>
            <w:tcW w:w="711"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tcBorders>
              <w:top w:val="nil"/>
              <w:left w:val="nil"/>
              <w:bottom w:val="nil"/>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审核材料        听取汇报       听取意见</w:t>
            </w:r>
          </w:p>
        </w:tc>
      </w:tr>
      <w:tr w:rsidR="00E7541A" w:rsidTr="00206B22">
        <w:trPr>
          <w:trHeight w:val="540"/>
        </w:trPr>
        <w:tc>
          <w:tcPr>
            <w:tcW w:w="95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E7541A" w:rsidRDefault="00E7541A" w:rsidP="00206B22">
            <w:pPr>
              <w:widowControl/>
              <w:jc w:val="center"/>
              <w:rPr>
                <w:rFonts w:ascii="黑体" w:eastAsia="黑体" w:hAnsi="黑体"/>
                <w:b/>
                <w:bCs/>
                <w:color w:val="000000"/>
                <w:kern w:val="0"/>
                <w:sz w:val="20"/>
                <w:szCs w:val="20"/>
              </w:rPr>
            </w:pPr>
            <w:r>
              <w:rPr>
                <w:rFonts w:ascii="黑体" w:eastAsia="黑体" w:hAnsi="黑体" w:hint="eastAsia"/>
                <w:b/>
                <w:bCs/>
                <w:color w:val="000000"/>
                <w:kern w:val="0"/>
                <w:sz w:val="20"/>
                <w:szCs w:val="20"/>
              </w:rPr>
              <w:t>序号</w:t>
            </w:r>
          </w:p>
        </w:tc>
        <w:tc>
          <w:tcPr>
            <w:tcW w:w="637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E7541A" w:rsidRDefault="00E7541A" w:rsidP="00206B22">
            <w:pPr>
              <w:widowControl/>
              <w:jc w:val="center"/>
              <w:rPr>
                <w:rFonts w:ascii="黑体" w:eastAsia="黑体" w:hAnsi="黑体"/>
                <w:b/>
                <w:bCs/>
                <w:kern w:val="0"/>
                <w:sz w:val="20"/>
                <w:szCs w:val="20"/>
              </w:rPr>
            </w:pPr>
            <w:r>
              <w:rPr>
                <w:rFonts w:ascii="黑体" w:eastAsia="黑体" w:hAnsi="黑体" w:hint="eastAsia"/>
                <w:b/>
                <w:bCs/>
                <w:kern w:val="0"/>
                <w:sz w:val="20"/>
                <w:szCs w:val="20"/>
              </w:rPr>
              <w:t>指标名称</w:t>
            </w:r>
          </w:p>
        </w:tc>
        <w:tc>
          <w:tcPr>
            <w:tcW w:w="4583" w:type="dxa"/>
            <w:vMerge w:val="restart"/>
            <w:tcBorders>
              <w:top w:val="nil"/>
              <w:left w:val="single" w:sz="4" w:space="0" w:color="auto"/>
              <w:bottom w:val="single" w:sz="4" w:space="0" w:color="000000"/>
              <w:right w:val="single" w:sz="4" w:space="0" w:color="auto"/>
            </w:tcBorders>
            <w:shd w:val="clear" w:color="000000" w:fill="FFFFFF"/>
            <w:noWrap/>
            <w:vAlign w:val="center"/>
          </w:tcPr>
          <w:p w:rsidR="00E7541A" w:rsidRDefault="00E7541A" w:rsidP="00206B22">
            <w:pPr>
              <w:widowControl/>
              <w:jc w:val="center"/>
              <w:rPr>
                <w:rFonts w:ascii="黑体" w:eastAsia="黑体" w:hAnsi="黑体"/>
                <w:b/>
                <w:bCs/>
                <w:kern w:val="0"/>
                <w:sz w:val="20"/>
                <w:szCs w:val="20"/>
              </w:rPr>
            </w:pPr>
            <w:r>
              <w:rPr>
                <w:rFonts w:ascii="黑体" w:eastAsia="黑体" w:hAnsi="黑体" w:hint="eastAsia"/>
                <w:b/>
                <w:bCs/>
                <w:kern w:val="0"/>
                <w:sz w:val="20"/>
                <w:szCs w:val="20"/>
              </w:rPr>
              <w:t>考评方式</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tcPr>
          <w:p w:rsidR="00E7541A" w:rsidRDefault="00E7541A" w:rsidP="00206B22">
            <w:pPr>
              <w:widowControl/>
              <w:jc w:val="center"/>
              <w:rPr>
                <w:rFonts w:ascii="黑体" w:eastAsia="黑体" w:hAnsi="黑体"/>
                <w:b/>
                <w:bCs/>
                <w:kern w:val="0"/>
                <w:sz w:val="20"/>
                <w:szCs w:val="20"/>
              </w:rPr>
            </w:pPr>
            <w:r>
              <w:rPr>
                <w:rFonts w:ascii="黑体" w:eastAsia="黑体" w:hAnsi="黑体" w:hint="eastAsia"/>
                <w:b/>
                <w:bCs/>
                <w:kern w:val="0"/>
                <w:sz w:val="20"/>
                <w:szCs w:val="20"/>
              </w:rPr>
              <w:t>分  值</w:t>
            </w:r>
          </w:p>
        </w:tc>
        <w:tc>
          <w:tcPr>
            <w:tcW w:w="1143" w:type="dxa"/>
            <w:vMerge w:val="restart"/>
            <w:tcBorders>
              <w:top w:val="nil"/>
              <w:left w:val="single" w:sz="4" w:space="0" w:color="auto"/>
              <w:bottom w:val="single" w:sz="4" w:space="0" w:color="000000"/>
              <w:right w:val="single" w:sz="4" w:space="0" w:color="auto"/>
            </w:tcBorders>
            <w:shd w:val="clear" w:color="000000" w:fill="FFFFFF"/>
            <w:vAlign w:val="center"/>
          </w:tcPr>
          <w:p w:rsidR="00E7541A" w:rsidRDefault="00E7541A" w:rsidP="00206B22">
            <w:pPr>
              <w:widowControl/>
              <w:jc w:val="center"/>
              <w:rPr>
                <w:rFonts w:ascii="黑体" w:eastAsia="黑体" w:hAnsi="黑体"/>
                <w:b/>
                <w:bCs/>
                <w:kern w:val="0"/>
                <w:sz w:val="20"/>
                <w:szCs w:val="20"/>
              </w:rPr>
            </w:pPr>
            <w:r>
              <w:rPr>
                <w:rFonts w:ascii="黑体" w:eastAsia="黑体" w:hAnsi="黑体" w:hint="eastAsia"/>
                <w:b/>
                <w:bCs/>
                <w:kern w:val="0"/>
                <w:sz w:val="20"/>
                <w:szCs w:val="20"/>
              </w:rPr>
              <w:t>得分</w:t>
            </w:r>
          </w:p>
        </w:tc>
      </w:tr>
      <w:tr w:rsidR="00E7541A" w:rsidTr="00206B22">
        <w:trPr>
          <w:trHeight w:val="312"/>
        </w:trPr>
        <w:tc>
          <w:tcPr>
            <w:tcW w:w="950"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黑体" w:eastAsia="黑体" w:hAnsi="黑体"/>
                <w:b/>
                <w:bCs/>
                <w:color w:val="000000"/>
                <w:kern w:val="0"/>
                <w:sz w:val="20"/>
                <w:szCs w:val="20"/>
              </w:rPr>
            </w:pPr>
          </w:p>
        </w:tc>
        <w:tc>
          <w:tcPr>
            <w:tcW w:w="6378" w:type="dxa"/>
            <w:gridSpan w:val="2"/>
            <w:vMerge/>
            <w:tcBorders>
              <w:top w:val="single" w:sz="4" w:space="0" w:color="auto"/>
              <w:left w:val="single" w:sz="4" w:space="0" w:color="auto"/>
              <w:bottom w:val="single" w:sz="4" w:space="0" w:color="000000"/>
              <w:right w:val="single" w:sz="4" w:space="0" w:color="000000"/>
            </w:tcBorders>
            <w:vAlign w:val="center"/>
          </w:tcPr>
          <w:p w:rsidR="00E7541A" w:rsidRDefault="00E7541A" w:rsidP="00206B22">
            <w:pPr>
              <w:widowControl/>
              <w:jc w:val="left"/>
              <w:rPr>
                <w:rFonts w:ascii="黑体" w:eastAsia="黑体" w:hAnsi="黑体"/>
                <w:b/>
                <w:bCs/>
                <w:kern w:val="0"/>
                <w:sz w:val="20"/>
                <w:szCs w:val="20"/>
              </w:rPr>
            </w:pPr>
          </w:p>
        </w:tc>
        <w:tc>
          <w:tcPr>
            <w:tcW w:w="458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黑体" w:eastAsia="黑体" w:hAnsi="黑体"/>
                <w:b/>
                <w:bCs/>
                <w:kern w:val="0"/>
                <w:sz w:val="20"/>
                <w:szCs w:val="20"/>
              </w:rPr>
            </w:pPr>
          </w:p>
        </w:tc>
        <w:tc>
          <w:tcPr>
            <w:tcW w:w="711"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黑体" w:eastAsia="黑体" w:hAnsi="黑体"/>
                <w:b/>
                <w:bCs/>
                <w:kern w:val="0"/>
                <w:sz w:val="20"/>
                <w:szCs w:val="20"/>
              </w:rPr>
            </w:pPr>
          </w:p>
        </w:tc>
        <w:tc>
          <w:tcPr>
            <w:tcW w:w="1143" w:type="dxa"/>
            <w:vMerge/>
            <w:tcBorders>
              <w:top w:val="nil"/>
              <w:left w:val="single" w:sz="4" w:space="0" w:color="auto"/>
              <w:bottom w:val="single" w:sz="4" w:space="0" w:color="000000"/>
              <w:right w:val="single" w:sz="4" w:space="0" w:color="auto"/>
            </w:tcBorders>
            <w:vAlign w:val="center"/>
          </w:tcPr>
          <w:p w:rsidR="00E7541A" w:rsidRDefault="00E7541A" w:rsidP="00206B22">
            <w:pPr>
              <w:widowControl/>
              <w:jc w:val="left"/>
              <w:rPr>
                <w:rFonts w:ascii="黑体" w:eastAsia="黑体" w:hAnsi="黑体"/>
                <w:b/>
                <w:bCs/>
                <w:kern w:val="0"/>
                <w:sz w:val="20"/>
                <w:szCs w:val="20"/>
              </w:rPr>
            </w:pPr>
          </w:p>
        </w:tc>
      </w:tr>
      <w:tr w:rsidR="00E7541A" w:rsidTr="00206B22">
        <w:trPr>
          <w:trHeight w:val="540"/>
        </w:trPr>
        <w:tc>
          <w:tcPr>
            <w:tcW w:w="534" w:type="dxa"/>
            <w:vMerge w:val="restart"/>
            <w:tcBorders>
              <w:top w:val="nil"/>
              <w:left w:val="single" w:sz="4" w:space="0" w:color="auto"/>
              <w:bottom w:val="nil"/>
              <w:right w:val="single" w:sz="4" w:space="0" w:color="auto"/>
            </w:tcBorders>
            <w:noWrap/>
            <w:textDirection w:val="tbRlV"/>
            <w:vAlign w:val="center"/>
          </w:tcPr>
          <w:p w:rsidR="00E7541A" w:rsidRDefault="00E7541A" w:rsidP="00206B22">
            <w:pPr>
              <w:widowControl/>
              <w:jc w:val="center"/>
              <w:rPr>
                <w:rFonts w:ascii="黑体" w:eastAsia="黑体" w:hAnsi="黑体"/>
                <w:color w:val="000000"/>
                <w:kern w:val="0"/>
                <w:sz w:val="20"/>
                <w:szCs w:val="20"/>
              </w:rPr>
            </w:pPr>
            <w:r>
              <w:rPr>
                <w:rFonts w:ascii="黑体" w:eastAsia="黑体" w:hAnsi="黑体" w:hint="eastAsia"/>
                <w:color w:val="000000"/>
                <w:kern w:val="0"/>
                <w:sz w:val="20"/>
                <w:szCs w:val="20"/>
              </w:rPr>
              <w:t>特色指标</w:t>
            </w:r>
          </w:p>
        </w:tc>
        <w:tc>
          <w:tcPr>
            <w:tcW w:w="416"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1</w:t>
            </w:r>
          </w:p>
        </w:tc>
        <w:tc>
          <w:tcPr>
            <w:tcW w:w="637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落实国家和上海医改方案取得重要成果，或荣获国家级或市级科技创新成果奖，并应用于医疗临床和公共卫生服务。</w:t>
            </w:r>
          </w:p>
        </w:tc>
        <w:tc>
          <w:tcPr>
            <w:tcW w:w="4583" w:type="dxa"/>
            <w:tcBorders>
              <w:top w:val="nil"/>
              <w:left w:val="nil"/>
              <w:bottom w:val="single" w:sz="4" w:space="0" w:color="auto"/>
              <w:right w:val="single" w:sz="4" w:space="0" w:color="auto"/>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听取汇报、审核材料（获奖证书、专业部门/上级机关鉴定证明等）</w:t>
            </w:r>
          </w:p>
        </w:tc>
        <w:tc>
          <w:tcPr>
            <w:tcW w:w="711"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　</w:t>
            </w:r>
          </w:p>
        </w:tc>
      </w:tr>
      <w:tr w:rsidR="00E7541A" w:rsidTr="00206B22">
        <w:trPr>
          <w:trHeight w:val="750"/>
        </w:trPr>
        <w:tc>
          <w:tcPr>
            <w:tcW w:w="534" w:type="dxa"/>
            <w:vMerge/>
            <w:tcBorders>
              <w:top w:val="nil"/>
              <w:left w:val="single" w:sz="4" w:space="0" w:color="auto"/>
              <w:bottom w:val="nil"/>
              <w:right w:val="single" w:sz="4" w:space="0" w:color="auto"/>
            </w:tcBorders>
            <w:vAlign w:val="center"/>
          </w:tcPr>
          <w:p w:rsidR="00E7541A" w:rsidRDefault="00E7541A" w:rsidP="00206B22">
            <w:pPr>
              <w:widowControl/>
              <w:jc w:val="left"/>
              <w:rPr>
                <w:rFonts w:ascii="黑体" w:eastAsia="黑体" w:hAnsi="黑体"/>
                <w:color w:val="000000"/>
                <w:kern w:val="0"/>
                <w:sz w:val="20"/>
                <w:szCs w:val="20"/>
              </w:rPr>
            </w:pPr>
          </w:p>
        </w:tc>
        <w:tc>
          <w:tcPr>
            <w:tcW w:w="416"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2</w:t>
            </w:r>
          </w:p>
        </w:tc>
        <w:tc>
          <w:tcPr>
            <w:tcW w:w="637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参与各类应急突发事件处置或重大活动医疗服务保障，表现突出，获得市级以上表彰，或者承担对口支援、扶贫工作、参加国际医疗援助，并取得显著成效。</w:t>
            </w:r>
          </w:p>
        </w:tc>
        <w:tc>
          <w:tcPr>
            <w:tcW w:w="4583" w:type="dxa"/>
            <w:tcBorders>
              <w:top w:val="nil"/>
              <w:left w:val="nil"/>
              <w:bottom w:val="single" w:sz="4" w:space="0" w:color="auto"/>
              <w:right w:val="single" w:sz="4" w:space="0" w:color="auto"/>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听取汇报、审核材料（参与证明、获奖证书等）</w:t>
            </w:r>
          </w:p>
        </w:tc>
        <w:tc>
          <w:tcPr>
            <w:tcW w:w="711"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　</w:t>
            </w:r>
          </w:p>
        </w:tc>
      </w:tr>
      <w:tr w:rsidR="00E7541A" w:rsidTr="00206B22">
        <w:trPr>
          <w:trHeight w:val="540"/>
        </w:trPr>
        <w:tc>
          <w:tcPr>
            <w:tcW w:w="534" w:type="dxa"/>
            <w:vMerge/>
            <w:tcBorders>
              <w:top w:val="nil"/>
              <w:left w:val="single" w:sz="4" w:space="0" w:color="auto"/>
              <w:bottom w:val="nil"/>
              <w:right w:val="single" w:sz="4" w:space="0" w:color="auto"/>
            </w:tcBorders>
            <w:vAlign w:val="center"/>
          </w:tcPr>
          <w:p w:rsidR="00E7541A" w:rsidRDefault="00E7541A" w:rsidP="00206B22">
            <w:pPr>
              <w:widowControl/>
              <w:jc w:val="left"/>
              <w:rPr>
                <w:rFonts w:ascii="黑体" w:eastAsia="黑体" w:hAnsi="黑体"/>
                <w:color w:val="000000"/>
                <w:kern w:val="0"/>
                <w:sz w:val="20"/>
                <w:szCs w:val="20"/>
              </w:rPr>
            </w:pPr>
          </w:p>
        </w:tc>
        <w:tc>
          <w:tcPr>
            <w:tcW w:w="416"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3</w:t>
            </w:r>
          </w:p>
        </w:tc>
        <w:tc>
          <w:tcPr>
            <w:tcW w:w="637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有市级以上好人好事；在中央媒体有典型报道；原创的经验、做法在全国、本市卫生系统被推广应用。</w:t>
            </w:r>
          </w:p>
        </w:tc>
        <w:tc>
          <w:tcPr>
            <w:tcW w:w="4583" w:type="dxa"/>
            <w:tcBorders>
              <w:top w:val="nil"/>
              <w:left w:val="nil"/>
              <w:bottom w:val="single" w:sz="4" w:space="0" w:color="auto"/>
              <w:right w:val="single" w:sz="4" w:space="0" w:color="auto"/>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听取汇报、审核材料 (证书、媒体报道等）</w:t>
            </w:r>
          </w:p>
        </w:tc>
        <w:tc>
          <w:tcPr>
            <w:tcW w:w="711"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　</w:t>
            </w:r>
          </w:p>
        </w:tc>
      </w:tr>
      <w:tr w:rsidR="00E7541A" w:rsidTr="00206B22">
        <w:trPr>
          <w:trHeight w:val="540"/>
        </w:trPr>
        <w:tc>
          <w:tcPr>
            <w:tcW w:w="534" w:type="dxa"/>
            <w:vMerge/>
            <w:tcBorders>
              <w:top w:val="nil"/>
              <w:left w:val="single" w:sz="4" w:space="0" w:color="auto"/>
              <w:bottom w:val="nil"/>
              <w:right w:val="single" w:sz="4" w:space="0" w:color="auto"/>
            </w:tcBorders>
            <w:vAlign w:val="center"/>
          </w:tcPr>
          <w:p w:rsidR="00E7541A" w:rsidRDefault="00E7541A" w:rsidP="00206B22">
            <w:pPr>
              <w:widowControl/>
              <w:jc w:val="left"/>
              <w:rPr>
                <w:rFonts w:ascii="黑体" w:eastAsia="黑体" w:hAnsi="黑体"/>
                <w:color w:val="000000"/>
                <w:kern w:val="0"/>
                <w:sz w:val="20"/>
                <w:szCs w:val="20"/>
              </w:rPr>
            </w:pPr>
          </w:p>
        </w:tc>
        <w:tc>
          <w:tcPr>
            <w:tcW w:w="416"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4</w:t>
            </w:r>
          </w:p>
        </w:tc>
        <w:tc>
          <w:tcPr>
            <w:tcW w:w="637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荣获市级及以上党建和精神文明职业道德建设成果奖项。</w:t>
            </w:r>
          </w:p>
        </w:tc>
        <w:tc>
          <w:tcPr>
            <w:tcW w:w="4583" w:type="dxa"/>
            <w:tcBorders>
              <w:top w:val="nil"/>
              <w:left w:val="nil"/>
              <w:bottom w:val="single" w:sz="4" w:space="0" w:color="auto"/>
              <w:right w:val="single" w:sz="4" w:space="0" w:color="auto"/>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听取汇报、审核材料 ( 获奖证书等）</w:t>
            </w:r>
          </w:p>
        </w:tc>
        <w:tc>
          <w:tcPr>
            <w:tcW w:w="711"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　</w:t>
            </w:r>
          </w:p>
        </w:tc>
      </w:tr>
      <w:tr w:rsidR="00E7541A" w:rsidTr="00206B22">
        <w:trPr>
          <w:trHeight w:val="540"/>
        </w:trPr>
        <w:tc>
          <w:tcPr>
            <w:tcW w:w="534" w:type="dxa"/>
            <w:vMerge/>
            <w:tcBorders>
              <w:top w:val="nil"/>
              <w:left w:val="single" w:sz="4" w:space="0" w:color="auto"/>
              <w:bottom w:val="nil"/>
              <w:right w:val="single" w:sz="4" w:space="0" w:color="auto"/>
            </w:tcBorders>
            <w:vAlign w:val="center"/>
          </w:tcPr>
          <w:p w:rsidR="00E7541A" w:rsidRDefault="00E7541A" w:rsidP="00206B22">
            <w:pPr>
              <w:widowControl/>
              <w:jc w:val="left"/>
              <w:rPr>
                <w:rFonts w:ascii="黑体" w:eastAsia="黑体" w:hAnsi="黑体"/>
                <w:color w:val="000000"/>
                <w:kern w:val="0"/>
                <w:sz w:val="20"/>
                <w:szCs w:val="20"/>
              </w:rPr>
            </w:pPr>
          </w:p>
        </w:tc>
        <w:tc>
          <w:tcPr>
            <w:tcW w:w="416"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5</w:t>
            </w:r>
          </w:p>
        </w:tc>
        <w:tc>
          <w:tcPr>
            <w:tcW w:w="637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参与社会公益事业做出突出贡献，志愿服务获得市级以上荣誉称号，或建成志愿服务基地，形成志愿服务品牌项目。</w:t>
            </w:r>
          </w:p>
        </w:tc>
        <w:tc>
          <w:tcPr>
            <w:tcW w:w="4583" w:type="dxa"/>
            <w:tcBorders>
              <w:top w:val="nil"/>
              <w:left w:val="nil"/>
              <w:bottom w:val="single" w:sz="4" w:space="0" w:color="auto"/>
              <w:right w:val="single" w:sz="4" w:space="0" w:color="auto"/>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听取汇报、材料审核（参与证明、获奖证书）</w:t>
            </w:r>
          </w:p>
        </w:tc>
        <w:tc>
          <w:tcPr>
            <w:tcW w:w="711"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　</w:t>
            </w:r>
          </w:p>
        </w:tc>
      </w:tr>
      <w:tr w:rsidR="00E7541A" w:rsidTr="00206B22">
        <w:trPr>
          <w:trHeight w:val="540"/>
        </w:trPr>
        <w:tc>
          <w:tcPr>
            <w:tcW w:w="534" w:type="dxa"/>
            <w:vMerge/>
            <w:tcBorders>
              <w:top w:val="nil"/>
              <w:left w:val="single" w:sz="4" w:space="0" w:color="auto"/>
              <w:bottom w:val="nil"/>
              <w:right w:val="single" w:sz="4" w:space="0" w:color="auto"/>
            </w:tcBorders>
            <w:vAlign w:val="center"/>
          </w:tcPr>
          <w:p w:rsidR="00E7541A" w:rsidRDefault="00E7541A" w:rsidP="00206B22">
            <w:pPr>
              <w:widowControl/>
              <w:jc w:val="left"/>
              <w:rPr>
                <w:rFonts w:ascii="黑体" w:eastAsia="黑体" w:hAnsi="黑体"/>
                <w:color w:val="000000"/>
                <w:kern w:val="0"/>
                <w:sz w:val="20"/>
                <w:szCs w:val="20"/>
              </w:rPr>
            </w:pPr>
          </w:p>
        </w:tc>
        <w:tc>
          <w:tcPr>
            <w:tcW w:w="416"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6</w:t>
            </w:r>
          </w:p>
        </w:tc>
        <w:tc>
          <w:tcPr>
            <w:tcW w:w="637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自觉履行社会责任，按时提交单位年度社会责任报告，评为B级以上。</w:t>
            </w:r>
          </w:p>
        </w:tc>
        <w:tc>
          <w:tcPr>
            <w:tcW w:w="4583" w:type="dxa"/>
            <w:tcBorders>
              <w:top w:val="nil"/>
              <w:left w:val="nil"/>
              <w:bottom w:val="single" w:sz="4" w:space="0" w:color="auto"/>
              <w:right w:val="single" w:sz="4" w:space="0" w:color="auto"/>
            </w:tcBorders>
            <w:noWrap/>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审核材料</w:t>
            </w:r>
          </w:p>
        </w:tc>
        <w:tc>
          <w:tcPr>
            <w:tcW w:w="711"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　</w:t>
            </w:r>
          </w:p>
        </w:tc>
      </w:tr>
      <w:tr w:rsidR="00E7541A" w:rsidTr="00206B22">
        <w:trPr>
          <w:trHeight w:val="540"/>
        </w:trPr>
        <w:tc>
          <w:tcPr>
            <w:tcW w:w="534"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rsidR="00E7541A" w:rsidRDefault="00E7541A" w:rsidP="00206B22">
            <w:pPr>
              <w:widowControl/>
              <w:jc w:val="center"/>
              <w:rPr>
                <w:rFonts w:ascii="黑体" w:eastAsia="黑体" w:hAnsi="黑体"/>
                <w:color w:val="000000"/>
                <w:kern w:val="0"/>
                <w:sz w:val="20"/>
                <w:szCs w:val="20"/>
              </w:rPr>
            </w:pPr>
            <w:r>
              <w:rPr>
                <w:rFonts w:ascii="黑体" w:eastAsia="黑体" w:hAnsi="黑体" w:hint="eastAsia"/>
                <w:color w:val="000000"/>
                <w:kern w:val="0"/>
                <w:sz w:val="20"/>
                <w:szCs w:val="20"/>
              </w:rPr>
              <w:lastRenderedPageBreak/>
              <w:t xml:space="preserve">  特色指标</w:t>
            </w:r>
          </w:p>
        </w:tc>
        <w:tc>
          <w:tcPr>
            <w:tcW w:w="13231" w:type="dxa"/>
            <w:gridSpan w:val="6"/>
            <w:tcBorders>
              <w:top w:val="single" w:sz="4" w:space="0" w:color="auto"/>
              <w:left w:val="nil"/>
              <w:bottom w:val="single" w:sz="4" w:space="0" w:color="auto"/>
              <w:right w:val="single" w:sz="4" w:space="0" w:color="auto"/>
            </w:tcBorders>
            <w:noWrap/>
            <w:vAlign w:val="center"/>
          </w:tcPr>
          <w:p w:rsidR="00E7541A" w:rsidRDefault="00E7541A" w:rsidP="00206B22">
            <w:pPr>
              <w:widowControl/>
              <w:jc w:val="center"/>
              <w:rPr>
                <w:rFonts w:ascii="宋体" w:hAnsi="宋体"/>
                <w:b/>
                <w:bCs/>
                <w:kern w:val="0"/>
                <w:sz w:val="22"/>
              </w:rPr>
            </w:pPr>
            <w:r>
              <w:rPr>
                <w:rFonts w:ascii="宋体" w:hAnsi="宋体" w:hint="eastAsia"/>
                <w:b/>
                <w:bCs/>
                <w:kern w:val="0"/>
                <w:sz w:val="22"/>
              </w:rPr>
              <w:t>医院自设文明创建原创特色项目并取得标志性成果(在全社会具有引领性、示范性）</w:t>
            </w:r>
          </w:p>
        </w:tc>
      </w:tr>
      <w:tr w:rsidR="00E7541A" w:rsidTr="00206B22">
        <w:trPr>
          <w:trHeight w:val="540"/>
        </w:trPr>
        <w:tc>
          <w:tcPr>
            <w:tcW w:w="534" w:type="dxa"/>
            <w:vMerge/>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left"/>
              <w:rPr>
                <w:rFonts w:ascii="黑体" w:eastAsia="黑体" w:hAnsi="黑体"/>
                <w:color w:val="000000"/>
                <w:kern w:val="0"/>
                <w:sz w:val="20"/>
                <w:szCs w:val="20"/>
              </w:rPr>
            </w:pPr>
          </w:p>
        </w:tc>
        <w:tc>
          <w:tcPr>
            <w:tcW w:w="416"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7</w:t>
            </w:r>
          </w:p>
        </w:tc>
        <w:tc>
          <w:tcPr>
            <w:tcW w:w="6378" w:type="dxa"/>
            <w:gridSpan w:val="2"/>
            <w:tcBorders>
              <w:top w:val="single" w:sz="4" w:space="0" w:color="auto"/>
              <w:left w:val="nil"/>
              <w:bottom w:val="single" w:sz="4" w:space="0" w:color="auto"/>
              <w:right w:val="single" w:sz="4" w:space="0" w:color="000000"/>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结合上海市精神文明创建工作要求开展专题专项活动，取得显著成效。</w:t>
            </w:r>
          </w:p>
        </w:tc>
        <w:tc>
          <w:tcPr>
            <w:tcW w:w="4583" w:type="dxa"/>
            <w:tcBorders>
              <w:top w:val="nil"/>
              <w:left w:val="nil"/>
              <w:bottom w:val="single" w:sz="4" w:space="0" w:color="auto"/>
              <w:right w:val="single" w:sz="4" w:space="0" w:color="auto"/>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听取汇报、材料审核（项目设计思路和执行书等、获得市级及以上媒体报道或荣誉）</w:t>
            </w:r>
          </w:p>
        </w:tc>
        <w:tc>
          <w:tcPr>
            <w:tcW w:w="711"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tcBorders>
              <w:top w:val="nil"/>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　</w:t>
            </w:r>
          </w:p>
        </w:tc>
      </w:tr>
      <w:tr w:rsidR="00E7541A" w:rsidTr="00206B22">
        <w:trPr>
          <w:trHeight w:val="540"/>
        </w:trPr>
        <w:tc>
          <w:tcPr>
            <w:tcW w:w="534" w:type="dxa"/>
            <w:vMerge/>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left"/>
              <w:rPr>
                <w:rFonts w:ascii="黑体" w:eastAsia="黑体" w:hAnsi="黑体"/>
                <w:color w:val="000000"/>
                <w:kern w:val="0"/>
                <w:sz w:val="20"/>
                <w:szCs w:val="20"/>
              </w:rPr>
            </w:pPr>
          </w:p>
        </w:tc>
        <w:tc>
          <w:tcPr>
            <w:tcW w:w="416"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8</w:t>
            </w:r>
          </w:p>
        </w:tc>
        <w:tc>
          <w:tcPr>
            <w:tcW w:w="6378" w:type="dxa"/>
            <w:gridSpan w:val="2"/>
            <w:tcBorders>
              <w:top w:val="nil"/>
              <w:left w:val="nil"/>
              <w:bottom w:val="single" w:sz="4" w:space="0" w:color="auto"/>
              <w:right w:val="single" w:sz="4" w:space="0" w:color="000000"/>
            </w:tcBorders>
            <w:noWrap/>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有效解决市民就医痛点、难点、堵点等问题，并形成长效机制。</w:t>
            </w:r>
          </w:p>
        </w:tc>
        <w:tc>
          <w:tcPr>
            <w:tcW w:w="4583" w:type="dxa"/>
            <w:tcBorders>
              <w:top w:val="nil"/>
              <w:left w:val="nil"/>
              <w:bottom w:val="single" w:sz="4" w:space="0" w:color="auto"/>
              <w:right w:val="single" w:sz="4" w:space="0" w:color="auto"/>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听取汇报、材料审核（项目设计思路和执行书等、获得市级及以上媒体报道或荣誉）</w:t>
            </w:r>
          </w:p>
        </w:tc>
        <w:tc>
          <w:tcPr>
            <w:tcW w:w="711"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tcBorders>
              <w:top w:val="single" w:sz="4" w:space="0" w:color="auto"/>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　</w:t>
            </w:r>
          </w:p>
        </w:tc>
      </w:tr>
      <w:tr w:rsidR="00E7541A" w:rsidTr="00206B22">
        <w:trPr>
          <w:trHeight w:val="540"/>
        </w:trPr>
        <w:tc>
          <w:tcPr>
            <w:tcW w:w="534" w:type="dxa"/>
            <w:vMerge/>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left"/>
              <w:rPr>
                <w:rFonts w:ascii="黑体" w:eastAsia="黑体" w:hAnsi="黑体"/>
                <w:color w:val="000000"/>
                <w:kern w:val="0"/>
                <w:sz w:val="20"/>
                <w:szCs w:val="20"/>
              </w:rPr>
            </w:pPr>
          </w:p>
        </w:tc>
        <w:tc>
          <w:tcPr>
            <w:tcW w:w="416"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9</w:t>
            </w:r>
          </w:p>
        </w:tc>
        <w:tc>
          <w:tcPr>
            <w:tcW w:w="6378" w:type="dxa"/>
            <w:gridSpan w:val="2"/>
            <w:tcBorders>
              <w:top w:val="single" w:sz="4" w:space="0" w:color="auto"/>
              <w:left w:val="nil"/>
              <w:bottom w:val="single" w:sz="4" w:space="0" w:color="auto"/>
              <w:right w:val="single" w:sz="4" w:space="0" w:color="000000"/>
            </w:tcBorders>
            <w:noWrap/>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设计并持续开展有特色的精神文明创建项目。</w:t>
            </w:r>
          </w:p>
        </w:tc>
        <w:tc>
          <w:tcPr>
            <w:tcW w:w="4583" w:type="dxa"/>
            <w:tcBorders>
              <w:top w:val="nil"/>
              <w:left w:val="nil"/>
              <w:bottom w:val="single" w:sz="4" w:space="0" w:color="auto"/>
              <w:right w:val="single" w:sz="4" w:space="0" w:color="auto"/>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听取汇报、审核材料 (活动开展实际资料、媒体报道等、获得市级及以上媒体报道或荣誉）</w:t>
            </w:r>
          </w:p>
        </w:tc>
        <w:tc>
          <w:tcPr>
            <w:tcW w:w="711"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tcBorders>
              <w:top w:val="single" w:sz="4" w:space="0" w:color="auto"/>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　</w:t>
            </w:r>
          </w:p>
        </w:tc>
      </w:tr>
      <w:tr w:rsidR="00E7541A" w:rsidTr="00206B22">
        <w:trPr>
          <w:trHeight w:val="540"/>
        </w:trPr>
        <w:tc>
          <w:tcPr>
            <w:tcW w:w="534" w:type="dxa"/>
            <w:vMerge/>
            <w:tcBorders>
              <w:top w:val="single" w:sz="4" w:space="0" w:color="auto"/>
              <w:left w:val="single" w:sz="4" w:space="0" w:color="auto"/>
              <w:bottom w:val="single" w:sz="4" w:space="0" w:color="000000"/>
              <w:right w:val="single" w:sz="4" w:space="0" w:color="auto"/>
            </w:tcBorders>
            <w:vAlign w:val="center"/>
          </w:tcPr>
          <w:p w:rsidR="00E7541A" w:rsidRDefault="00E7541A" w:rsidP="00206B22">
            <w:pPr>
              <w:widowControl/>
              <w:jc w:val="left"/>
              <w:rPr>
                <w:rFonts w:ascii="黑体" w:eastAsia="黑体" w:hAnsi="黑体"/>
                <w:color w:val="000000"/>
                <w:kern w:val="0"/>
                <w:sz w:val="20"/>
                <w:szCs w:val="20"/>
              </w:rPr>
            </w:pPr>
          </w:p>
        </w:tc>
        <w:tc>
          <w:tcPr>
            <w:tcW w:w="416"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color w:val="000000"/>
                <w:kern w:val="0"/>
                <w:sz w:val="20"/>
                <w:szCs w:val="20"/>
              </w:rPr>
            </w:pPr>
            <w:r>
              <w:rPr>
                <w:rFonts w:ascii="宋体" w:hAnsi="宋体" w:hint="eastAsia"/>
                <w:color w:val="000000"/>
                <w:kern w:val="0"/>
                <w:sz w:val="20"/>
                <w:szCs w:val="20"/>
              </w:rPr>
              <w:t>10</w:t>
            </w:r>
          </w:p>
        </w:tc>
        <w:tc>
          <w:tcPr>
            <w:tcW w:w="6378" w:type="dxa"/>
            <w:gridSpan w:val="2"/>
            <w:tcBorders>
              <w:top w:val="single" w:sz="4" w:space="0" w:color="auto"/>
              <w:left w:val="nil"/>
              <w:bottom w:val="single" w:sz="4" w:space="0" w:color="auto"/>
              <w:right w:val="single" w:sz="4" w:space="0" w:color="000000"/>
            </w:tcBorders>
            <w:noWrap/>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在提升医务人员的道德素养和单位的精神风尚方面取得显著成效。</w:t>
            </w:r>
          </w:p>
        </w:tc>
        <w:tc>
          <w:tcPr>
            <w:tcW w:w="4583" w:type="dxa"/>
            <w:tcBorders>
              <w:top w:val="nil"/>
              <w:left w:val="nil"/>
              <w:bottom w:val="single" w:sz="4" w:space="0" w:color="auto"/>
              <w:right w:val="single" w:sz="4" w:space="0" w:color="auto"/>
            </w:tcBorders>
            <w:vAlign w:val="center"/>
          </w:tcPr>
          <w:p w:rsidR="00E7541A" w:rsidRDefault="00E7541A" w:rsidP="00206B22">
            <w:pPr>
              <w:widowControl/>
              <w:jc w:val="left"/>
              <w:rPr>
                <w:rFonts w:ascii="宋体" w:hAnsi="宋体"/>
                <w:kern w:val="0"/>
                <w:sz w:val="20"/>
                <w:szCs w:val="20"/>
              </w:rPr>
            </w:pPr>
            <w:r>
              <w:rPr>
                <w:rFonts w:ascii="宋体" w:hAnsi="宋体" w:hint="eastAsia"/>
                <w:kern w:val="0"/>
                <w:sz w:val="20"/>
                <w:szCs w:val="20"/>
              </w:rPr>
              <w:t>听取汇报、审核材料（证明材料、获奖证书等、获得市级及以上媒体报道或荣誉）</w:t>
            </w:r>
          </w:p>
        </w:tc>
        <w:tc>
          <w:tcPr>
            <w:tcW w:w="711" w:type="dxa"/>
            <w:tcBorders>
              <w:top w:val="nil"/>
              <w:left w:val="nil"/>
              <w:bottom w:val="single" w:sz="4" w:space="0" w:color="auto"/>
              <w:right w:val="single" w:sz="4" w:space="0" w:color="auto"/>
            </w:tcBorders>
            <w:noWrap/>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1</w:t>
            </w:r>
          </w:p>
        </w:tc>
        <w:tc>
          <w:tcPr>
            <w:tcW w:w="1143" w:type="dxa"/>
            <w:tcBorders>
              <w:top w:val="single" w:sz="4" w:space="0" w:color="auto"/>
              <w:left w:val="nil"/>
              <w:bottom w:val="single" w:sz="4" w:space="0" w:color="auto"/>
              <w:right w:val="single" w:sz="4" w:space="0" w:color="auto"/>
            </w:tcBorders>
            <w:vAlign w:val="center"/>
          </w:tcPr>
          <w:p w:rsidR="00E7541A" w:rsidRDefault="00E7541A" w:rsidP="00206B22">
            <w:pPr>
              <w:widowControl/>
              <w:jc w:val="center"/>
              <w:rPr>
                <w:rFonts w:ascii="宋体" w:hAnsi="宋体"/>
                <w:kern w:val="0"/>
                <w:sz w:val="20"/>
                <w:szCs w:val="20"/>
              </w:rPr>
            </w:pPr>
            <w:r>
              <w:rPr>
                <w:rFonts w:ascii="宋体" w:hAnsi="宋体" w:hint="eastAsia"/>
                <w:kern w:val="0"/>
                <w:sz w:val="20"/>
                <w:szCs w:val="20"/>
              </w:rPr>
              <w:t xml:space="preserve">　</w:t>
            </w:r>
          </w:p>
        </w:tc>
      </w:tr>
    </w:tbl>
    <w:p w:rsidR="00E7541A" w:rsidRDefault="00E7541A" w:rsidP="00E7541A">
      <w:pPr>
        <w:pStyle w:val="a5"/>
        <w:spacing w:before="0" w:beforeAutospacing="0" w:after="0" w:afterAutospacing="0" w:line="560" w:lineRule="exact"/>
        <w:ind w:right="147"/>
        <w:textAlignment w:val="baseline"/>
        <w:rPr>
          <w:rFonts w:ascii="仿宋" w:eastAsia="仿宋" w:hAnsi="仿宋"/>
          <w:sz w:val="32"/>
          <w:szCs w:val="32"/>
        </w:rPr>
      </w:pPr>
    </w:p>
    <w:p w:rsidR="00E7541A" w:rsidRDefault="00E7541A" w:rsidP="00E7541A">
      <w:pPr>
        <w:pStyle w:val="a5"/>
        <w:spacing w:before="0" w:beforeAutospacing="0" w:after="0" w:afterAutospacing="0" w:line="560" w:lineRule="exact"/>
        <w:ind w:right="147"/>
        <w:textAlignment w:val="baseline"/>
        <w:rPr>
          <w:rFonts w:ascii="仿宋" w:eastAsia="仿宋" w:hAnsi="仿宋"/>
          <w:sz w:val="32"/>
          <w:szCs w:val="32"/>
        </w:rPr>
      </w:pPr>
    </w:p>
    <w:p w:rsidR="00E7541A" w:rsidRDefault="00E7541A" w:rsidP="00E7541A">
      <w:pPr>
        <w:pStyle w:val="a5"/>
        <w:spacing w:before="0" w:beforeAutospacing="0" w:after="0" w:afterAutospacing="0" w:line="560" w:lineRule="exact"/>
        <w:ind w:right="147"/>
        <w:textAlignment w:val="baseline"/>
        <w:rPr>
          <w:rFonts w:ascii="仿宋" w:eastAsia="仿宋" w:hAnsi="仿宋"/>
          <w:sz w:val="32"/>
          <w:szCs w:val="32"/>
        </w:rPr>
      </w:pPr>
    </w:p>
    <w:p w:rsidR="00E7541A" w:rsidRDefault="00E7541A" w:rsidP="00E7541A">
      <w:pPr>
        <w:pStyle w:val="a5"/>
        <w:spacing w:before="0" w:beforeAutospacing="0" w:after="0" w:afterAutospacing="0" w:line="560" w:lineRule="exact"/>
        <w:ind w:right="147"/>
        <w:textAlignment w:val="baseline"/>
        <w:rPr>
          <w:rFonts w:ascii="仿宋" w:eastAsia="仿宋" w:hAnsi="仿宋"/>
          <w:sz w:val="32"/>
          <w:szCs w:val="32"/>
        </w:rPr>
      </w:pPr>
    </w:p>
    <w:p w:rsidR="00E7541A" w:rsidRDefault="00E7541A" w:rsidP="00E7541A">
      <w:pPr>
        <w:pStyle w:val="a5"/>
        <w:spacing w:before="0" w:beforeAutospacing="0" w:after="0" w:afterAutospacing="0" w:line="560" w:lineRule="exact"/>
        <w:ind w:right="147"/>
        <w:textAlignment w:val="baseline"/>
        <w:rPr>
          <w:rFonts w:ascii="仿宋" w:eastAsia="仿宋" w:hAnsi="仿宋"/>
          <w:sz w:val="32"/>
          <w:szCs w:val="32"/>
        </w:rPr>
      </w:pPr>
    </w:p>
    <w:p w:rsidR="00E7541A" w:rsidRDefault="00E7541A" w:rsidP="00E7541A">
      <w:pPr>
        <w:pStyle w:val="a5"/>
        <w:spacing w:before="0" w:beforeAutospacing="0" w:after="0" w:afterAutospacing="0" w:line="560" w:lineRule="exact"/>
        <w:ind w:right="147"/>
        <w:textAlignment w:val="baseline"/>
        <w:rPr>
          <w:rFonts w:ascii="仿宋" w:eastAsia="仿宋" w:hAnsi="仿宋"/>
          <w:sz w:val="32"/>
          <w:szCs w:val="32"/>
        </w:rPr>
      </w:pPr>
    </w:p>
    <w:p w:rsidR="00E7541A" w:rsidRDefault="00E7541A" w:rsidP="00E7541A">
      <w:pPr>
        <w:pStyle w:val="a5"/>
        <w:spacing w:before="0" w:beforeAutospacing="0" w:after="0" w:afterAutospacing="0" w:line="560" w:lineRule="exact"/>
        <w:ind w:right="147"/>
        <w:textAlignment w:val="baseline"/>
        <w:rPr>
          <w:rFonts w:ascii="仿宋" w:eastAsia="仿宋" w:hAnsi="仿宋"/>
          <w:sz w:val="32"/>
          <w:szCs w:val="32"/>
        </w:rPr>
      </w:pPr>
    </w:p>
    <w:p w:rsidR="00E7541A" w:rsidRDefault="00E7541A" w:rsidP="00E7541A">
      <w:pPr>
        <w:pStyle w:val="a5"/>
        <w:spacing w:before="0" w:beforeAutospacing="0" w:after="0" w:afterAutospacing="0" w:line="560" w:lineRule="exact"/>
        <w:ind w:right="147"/>
        <w:textAlignment w:val="baseline"/>
        <w:rPr>
          <w:rFonts w:ascii="仿宋" w:eastAsia="仿宋" w:hAnsi="仿宋"/>
          <w:sz w:val="32"/>
          <w:szCs w:val="32"/>
        </w:rPr>
      </w:pPr>
    </w:p>
    <w:p w:rsidR="00E7541A" w:rsidRDefault="00E7541A" w:rsidP="00E7541A">
      <w:pPr>
        <w:pStyle w:val="a5"/>
        <w:spacing w:before="0" w:beforeAutospacing="0" w:after="0" w:afterAutospacing="0" w:line="560" w:lineRule="exact"/>
        <w:ind w:right="147"/>
        <w:textAlignment w:val="baseline"/>
        <w:rPr>
          <w:rFonts w:ascii="仿宋" w:eastAsia="仿宋" w:hAnsi="仿宋"/>
          <w:sz w:val="32"/>
          <w:szCs w:val="32"/>
        </w:rPr>
      </w:pPr>
    </w:p>
    <w:p w:rsidR="00E7541A" w:rsidRDefault="00E7541A" w:rsidP="00E7541A">
      <w:pPr>
        <w:pStyle w:val="a5"/>
        <w:spacing w:before="0" w:beforeAutospacing="0" w:after="0" w:afterAutospacing="0" w:line="560" w:lineRule="exact"/>
        <w:ind w:right="147"/>
        <w:textAlignment w:val="baseline"/>
        <w:rPr>
          <w:rFonts w:ascii="仿宋" w:eastAsia="仿宋" w:hAnsi="仿宋"/>
          <w:sz w:val="32"/>
          <w:szCs w:val="32"/>
        </w:rPr>
      </w:pPr>
      <w:r>
        <w:rPr>
          <w:rFonts w:ascii="仿宋" w:eastAsia="仿宋" w:hAnsi="仿宋" w:hint="eastAsia"/>
          <w:sz w:val="32"/>
          <w:szCs w:val="32"/>
        </w:rPr>
        <w:lastRenderedPageBreak/>
        <w:t>附件2：</w:t>
      </w:r>
    </w:p>
    <w:p w:rsidR="00E7541A" w:rsidRDefault="00E7541A" w:rsidP="00E7541A">
      <w:pPr>
        <w:pStyle w:val="a5"/>
        <w:spacing w:before="0" w:beforeAutospacing="0" w:after="0" w:afterAutospacing="0" w:line="560" w:lineRule="exact"/>
        <w:ind w:right="147" w:firstLineChars="198" w:firstLine="713"/>
        <w:jc w:val="center"/>
        <w:textAlignment w:val="baseline"/>
        <w:rPr>
          <w:rFonts w:ascii="黑体" w:eastAsia="黑体" w:hAnsi="黑体"/>
          <w:sz w:val="36"/>
          <w:szCs w:val="36"/>
        </w:rPr>
      </w:pPr>
      <w:r>
        <w:rPr>
          <w:rFonts w:ascii="黑体" w:eastAsia="黑体" w:hAnsi="黑体" w:hint="eastAsia"/>
          <w:sz w:val="36"/>
          <w:szCs w:val="36"/>
        </w:rPr>
        <w:t>上海市卫生健康系统文明行业创建专项督导参考指标</w:t>
      </w:r>
    </w:p>
    <w:p w:rsidR="00E7541A" w:rsidRDefault="00E7541A" w:rsidP="00E7541A">
      <w:pPr>
        <w:pStyle w:val="a5"/>
        <w:spacing w:before="0" w:beforeAutospacing="0" w:after="0" w:afterAutospacing="0" w:line="560" w:lineRule="exact"/>
        <w:ind w:right="147" w:firstLineChars="198" w:firstLine="634"/>
        <w:jc w:val="center"/>
        <w:textAlignment w:val="baseline"/>
        <w:rPr>
          <w:rFonts w:ascii="仿宋" w:eastAsia="仿宋" w:hAnsi="仿宋"/>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6"/>
        <w:gridCol w:w="1348"/>
        <w:gridCol w:w="1443"/>
        <w:gridCol w:w="9885"/>
      </w:tblGrid>
      <w:tr w:rsidR="00E7541A" w:rsidTr="00206B22">
        <w:trPr>
          <w:trHeight w:val="263"/>
          <w:tblHeader/>
        </w:trPr>
        <w:tc>
          <w:tcPr>
            <w:tcW w:w="1466"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b/>
                <w:sz w:val="24"/>
              </w:rPr>
            </w:pPr>
            <w:r>
              <w:rPr>
                <w:rFonts w:ascii="华文仿宋" w:eastAsia="华文仿宋" w:hAnsi="华文仿宋" w:hint="eastAsia"/>
                <w:b/>
                <w:sz w:val="24"/>
              </w:rPr>
              <w:t>一级指标</w:t>
            </w:r>
          </w:p>
        </w:tc>
        <w:tc>
          <w:tcPr>
            <w:tcW w:w="1348"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b/>
                <w:sz w:val="24"/>
              </w:rPr>
            </w:pPr>
            <w:r>
              <w:rPr>
                <w:rFonts w:ascii="华文仿宋" w:eastAsia="华文仿宋" w:hAnsi="华文仿宋" w:hint="eastAsia"/>
                <w:b/>
                <w:sz w:val="24"/>
              </w:rPr>
              <w:t>二级指标</w:t>
            </w: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b/>
                <w:sz w:val="24"/>
              </w:rPr>
            </w:pPr>
            <w:r>
              <w:rPr>
                <w:rFonts w:ascii="华文仿宋" w:eastAsia="华文仿宋" w:hAnsi="华文仿宋" w:hint="eastAsia"/>
                <w:b/>
                <w:sz w:val="24"/>
              </w:rPr>
              <w:t>测评项目</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jc w:val="center"/>
              <w:rPr>
                <w:rFonts w:ascii="华文仿宋" w:eastAsia="华文仿宋" w:hAnsi="华文仿宋"/>
                <w:b/>
                <w:sz w:val="24"/>
              </w:rPr>
            </w:pPr>
            <w:r>
              <w:rPr>
                <w:rFonts w:ascii="华文仿宋" w:eastAsia="华文仿宋" w:hAnsi="华文仿宋" w:hint="eastAsia"/>
                <w:b/>
                <w:sz w:val="24"/>
              </w:rPr>
              <w:t>测评内容</w:t>
            </w:r>
          </w:p>
        </w:tc>
      </w:tr>
      <w:tr w:rsidR="00E7541A" w:rsidTr="00206B22">
        <w:trPr>
          <w:trHeight w:val="263"/>
        </w:trPr>
        <w:tc>
          <w:tcPr>
            <w:tcW w:w="1466"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环境文明</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b/>
                <w:sz w:val="24"/>
              </w:rPr>
            </w:pPr>
            <w:r>
              <w:rPr>
                <w:rFonts w:ascii="华文仿宋" w:eastAsia="华文仿宋" w:hAnsi="华文仿宋" w:hint="eastAsia"/>
                <w:sz w:val="24"/>
              </w:rPr>
              <w:t>服务设施</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b/>
                <w:sz w:val="24"/>
              </w:rPr>
            </w:pPr>
            <w:r>
              <w:rPr>
                <w:rFonts w:ascii="华文仿宋" w:eastAsia="华文仿宋" w:hAnsi="华文仿宋" w:hint="eastAsia"/>
                <w:sz w:val="24"/>
              </w:rPr>
              <w:t>服务场所</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医疗机构布局流程合理便捷。不断优化就医布局和流程，便捷病患就诊环节；推行挂号收费通柜服务、自助服务，就诊高峰时段开足服务窗口，按需设置楼层收费点，社区卫生服务中心设置卫生站点。</w:t>
            </w:r>
          </w:p>
        </w:tc>
      </w:tr>
      <w:tr w:rsidR="00E7541A" w:rsidTr="00206B22">
        <w:trPr>
          <w:trHeight w:val="263"/>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b/>
                <w:sz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b/>
                <w:sz w:val="24"/>
              </w:rPr>
            </w:pP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有无障碍设施，能正常使用；没有条件设立的，应有相应的服务措施或手段为行动不便的人提供服务</w:t>
            </w:r>
          </w:p>
        </w:tc>
      </w:tr>
      <w:tr w:rsidR="00E7541A" w:rsidTr="00206B22">
        <w:trPr>
          <w:trHeight w:val="312"/>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b/>
                <w:sz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设施安全</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消防设施完好</w:t>
            </w:r>
          </w:p>
        </w:tc>
      </w:tr>
      <w:tr w:rsidR="00E7541A" w:rsidTr="00206B22">
        <w:trPr>
          <w:trHeight w:val="312"/>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b/>
                <w:sz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应急通道畅通，无被占用、堵塞现象；应急通道出口标识明显</w:t>
            </w:r>
          </w:p>
        </w:tc>
      </w:tr>
      <w:tr w:rsidR="00E7541A" w:rsidTr="00206B22">
        <w:trPr>
          <w:trHeight w:val="338"/>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服务环境</w:t>
            </w: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环境整洁</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医院环境整洁安全。院容院貌整洁优美，设施安全；厕所清洁卫生无异味。</w:t>
            </w:r>
          </w:p>
        </w:tc>
      </w:tr>
      <w:tr w:rsidR="00E7541A" w:rsidTr="00206B22">
        <w:trPr>
          <w:trHeight w:val="338"/>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禁止吸烟</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有明显的禁烟标志，室内无吸烟现象</w:t>
            </w:r>
          </w:p>
        </w:tc>
      </w:tr>
      <w:tr w:rsidR="00E7541A" w:rsidTr="00206B22">
        <w:trPr>
          <w:trHeight w:val="624"/>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标识醒目</w:t>
            </w:r>
          </w:p>
        </w:tc>
        <w:tc>
          <w:tcPr>
            <w:tcW w:w="9885"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指示标识清晰明了。导向标志安全、醒目、便利、协调；服务标识正确、醒目、便于视读；按科室、病区布局设置统一、醒目、规范的指示标识，二甲以上医院完善中英文标识，规范使用汉字，加强导医和巡视力量，方便患者就医。</w:t>
            </w:r>
          </w:p>
        </w:tc>
      </w:tr>
      <w:tr w:rsidR="00E7541A" w:rsidTr="00206B22">
        <w:trPr>
          <w:trHeight w:val="624"/>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9885"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r>
      <w:tr w:rsidR="00E7541A" w:rsidTr="00206B22">
        <w:trPr>
          <w:trHeight w:val="624"/>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9885"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r>
      <w:tr w:rsidR="00E7541A" w:rsidTr="00206B22">
        <w:trPr>
          <w:trHeight w:val="312"/>
        </w:trPr>
        <w:tc>
          <w:tcPr>
            <w:tcW w:w="1466"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秩序文明</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信息告示</w:t>
            </w: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公示明了</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公示收费项目，配备完好电子触摸询价设施，实行门急诊收费明细账单制和住院费用“一日清单制”，方便患者查询；及时公布政府调价信息，严格执行医疗服务收费标准，杜绝乱收费现象，降低收费差错率；公开门急诊、住院服务须知和窗口服务规范；公开便民服务措施</w:t>
            </w:r>
          </w:p>
        </w:tc>
      </w:tr>
      <w:tr w:rsidR="00E7541A" w:rsidTr="00206B22">
        <w:trPr>
          <w:trHeight w:val="312"/>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投诉便捷</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公开监督电话、投诉信箱。公示领导接待日时间和地点。</w:t>
            </w:r>
          </w:p>
        </w:tc>
      </w:tr>
      <w:tr w:rsidR="00E7541A" w:rsidTr="00206B22">
        <w:trPr>
          <w:trHeight w:val="312"/>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服务场所设有意见箱或意见簿</w:t>
            </w:r>
          </w:p>
        </w:tc>
      </w:tr>
      <w:tr w:rsidR="00E7541A" w:rsidTr="00206B22">
        <w:trPr>
          <w:trHeight w:val="312"/>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投诉渠道畅通</w:t>
            </w:r>
          </w:p>
        </w:tc>
      </w:tr>
      <w:tr w:rsidR="00E7541A" w:rsidTr="00206B22">
        <w:trPr>
          <w:trHeight w:val="285"/>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便捷有序</w:t>
            </w: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引导有序</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候诊就医文明有序。加强门急诊工作力量，增设专家、专病门诊；通过现场、网络、电话等途径开展分时段、实名制预约服务，引导患者预约就诊、错峰就诊，减少等候时间；使用人工引导或电子排队叫号系统，引导患者有序文明就诊。</w:t>
            </w:r>
          </w:p>
        </w:tc>
      </w:tr>
      <w:tr w:rsidR="00E7541A" w:rsidTr="00206B22">
        <w:trPr>
          <w:trHeight w:val="312"/>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等候时间</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排队等候时间不超过承诺时限，现场有管理人员维持秩序，保持现场服务有序进行</w:t>
            </w:r>
          </w:p>
        </w:tc>
      </w:tr>
      <w:tr w:rsidR="00E7541A" w:rsidTr="00206B22">
        <w:trPr>
          <w:trHeight w:val="312"/>
        </w:trPr>
        <w:tc>
          <w:tcPr>
            <w:tcW w:w="1466"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服务文明</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服务能力</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服务手段</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热线电话保持畅通</w:t>
            </w:r>
          </w:p>
        </w:tc>
      </w:tr>
      <w:tr w:rsidR="00E7541A" w:rsidTr="00206B22">
        <w:trPr>
          <w:trHeight w:val="312"/>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便民措施，细致周到。设置“统一标识、统一规范”的便民服务中心，提供导医、咨询、预约等服务；落实无障碍通道、茶水供应、公用电话等便民措施；为来沪就诊等特殊病患提供便捷化服务；倡导设置母婴室；自助服务机具等服务功能设备完好；不启用时有明显标识。</w:t>
            </w:r>
          </w:p>
        </w:tc>
      </w:tr>
      <w:tr w:rsidR="00E7541A" w:rsidTr="00206B22">
        <w:trPr>
          <w:trHeight w:val="312"/>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健康教育，形式多样。结合实际，通过讲座、册页、版报、宣传栏、电话、网络、视频等多种形式，开展生动形象的健康教育，增强市民和患者的健康保健意识。</w:t>
            </w:r>
          </w:p>
        </w:tc>
      </w:tr>
      <w:tr w:rsidR="00E7541A" w:rsidTr="00206B22">
        <w:trPr>
          <w:trHeight w:val="313"/>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服务规范</w:t>
            </w: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服务态度</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医务人员态度良好，解答耐心，亲切温馨。使用医疗服务文明规范用语，不讲服务忌语，倡导“微笑服务”，热情、礼貌接待病人，推广首句使用普通话，实行首问（诊）负责制；不以床号替代姓名称呼病人，对所有病患一视同仁。</w:t>
            </w:r>
          </w:p>
        </w:tc>
      </w:tr>
      <w:tr w:rsidR="00E7541A" w:rsidTr="00206B22">
        <w:trPr>
          <w:trHeight w:val="313"/>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服务意识</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服务人员积极主动的为服务对象办实事。绿色通道通畅，抢救设备完好，医务人员技术操作熟练，抢救室无长时间滞留患者，为危重患者提供护送、推车等服务。落实专人负责医疗信息的更新维护，专家门诊停诊或时间变动、节假日门诊停诊、布局流程调整等信息发布及时准确，避免患者无效往返。落实床位医师和责任护士工作负责制，主动关心住院病人，及时了解患者需求、病情变化和心理状态，做好沟通、解释、治疗和宣教。</w:t>
            </w:r>
          </w:p>
        </w:tc>
      </w:tr>
      <w:tr w:rsidR="00E7541A" w:rsidTr="00206B22">
        <w:trPr>
          <w:trHeight w:val="313"/>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按章办事</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服务符合规定程序和标准。完善医疗服务评估机制，加强内部检查和社会督查。通过主动听</w:t>
            </w:r>
            <w:r>
              <w:rPr>
                <w:rFonts w:ascii="华文仿宋" w:eastAsia="华文仿宋" w:hAnsi="华文仿宋" w:hint="eastAsia"/>
                <w:sz w:val="24"/>
              </w:rPr>
              <w:lastRenderedPageBreak/>
              <w:t>取患者意见、发放意见征询表、对出院患者电话回访等方式，主动查找问题，持续改进工作。</w:t>
            </w:r>
          </w:p>
        </w:tc>
      </w:tr>
      <w:tr w:rsidR="00E7541A" w:rsidTr="00206B22">
        <w:trPr>
          <w:trHeight w:val="325"/>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服务效率</w:t>
            </w: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限时办结</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服务办结时间不超过规定或承诺时限</w:t>
            </w:r>
          </w:p>
        </w:tc>
      </w:tr>
      <w:tr w:rsidR="00E7541A" w:rsidTr="00206B22">
        <w:trPr>
          <w:trHeight w:val="294"/>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投诉处理</w:t>
            </w:r>
          </w:p>
        </w:tc>
        <w:tc>
          <w:tcPr>
            <w:tcW w:w="9885" w:type="dxa"/>
            <w:tcBorders>
              <w:top w:val="single" w:sz="4" w:space="0" w:color="auto"/>
              <w:left w:val="single" w:sz="4" w:space="0" w:color="auto"/>
              <w:bottom w:val="single" w:sz="4" w:space="0" w:color="auto"/>
              <w:right w:val="single" w:sz="4" w:space="0" w:color="auto"/>
            </w:tcBorders>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完善投诉处理机制和医患矛盾调处机制，倡导“首诉负责制”，建立健全医患矛盾突发事件处置机制，落实第三方调解制度和医责险制度，依法维护医疗服务秩序。在承诺时限内处理完毕，并主动告知投诉处理结果。</w:t>
            </w:r>
          </w:p>
        </w:tc>
      </w:tr>
      <w:tr w:rsidR="00E7541A" w:rsidTr="00206B22">
        <w:trPr>
          <w:trHeight w:val="312"/>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服务创新</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服务渠道</w:t>
            </w: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提供多样化的服务渠道，如网络服务、移动互联网服务、智能服务等</w:t>
            </w:r>
          </w:p>
        </w:tc>
      </w:tr>
      <w:tr w:rsidR="00E7541A" w:rsidTr="00206B22">
        <w:trPr>
          <w:trHeight w:val="312"/>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提供新媒体互动平台，如微博、微信、APP等</w:t>
            </w:r>
          </w:p>
        </w:tc>
      </w:tr>
      <w:tr w:rsidR="00E7541A" w:rsidTr="00206B22">
        <w:trPr>
          <w:trHeight w:val="312"/>
        </w:trPr>
        <w:tc>
          <w:tcPr>
            <w:tcW w:w="1466"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便民措施</w:t>
            </w: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服务创新，持续探索。推广自助服务系统等方便顾客的新项目、新举措。</w:t>
            </w:r>
          </w:p>
        </w:tc>
      </w:tr>
      <w:tr w:rsidR="00E7541A" w:rsidTr="00206B22">
        <w:trPr>
          <w:trHeight w:val="334"/>
        </w:trPr>
        <w:tc>
          <w:tcPr>
            <w:tcW w:w="1466" w:type="dxa"/>
            <w:vMerge w:val="restart"/>
            <w:tcBorders>
              <w:top w:val="single" w:sz="4" w:space="0" w:color="auto"/>
              <w:left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素质文明</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员工素养</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服务技能</w:t>
            </w: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按规定统一着装，服装整洁，挂牌上岗，举止得体，塑造医务人员良好形象。</w:t>
            </w:r>
          </w:p>
        </w:tc>
      </w:tr>
      <w:tr w:rsidR="00E7541A" w:rsidTr="00206B22">
        <w:trPr>
          <w:trHeight w:val="312"/>
        </w:trPr>
        <w:tc>
          <w:tcPr>
            <w:tcW w:w="1466"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遵章办事，业务熟练，文明办公。</w:t>
            </w:r>
          </w:p>
        </w:tc>
      </w:tr>
      <w:tr w:rsidR="00E7541A" w:rsidTr="00206B22">
        <w:trPr>
          <w:trHeight w:val="312"/>
        </w:trPr>
        <w:tc>
          <w:tcPr>
            <w:tcW w:w="1466"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职业道德</w:t>
            </w: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诊疗服务，文明有礼。接待患者，请字当先，多用礼貌用语，多用安慰性语言，多沟通交流，杜绝服务禁语。行为举止，规范得体。加强医务人员行为礼仪和操作培训，做到“四轻”：走路轻、说话轻、操作轻、动作轻，在医疗服务全过程体现医务人员的职业素养。尊重保护患者隐私，不随意谈论患者病情，对患者进行体检、影像检查、心电图检查和身体隐私部位治疗时有遮隔措施；妥善保管病史和检查资料；倡导“一人一诊室”，劝阻入诊室围观者。</w:t>
            </w:r>
          </w:p>
        </w:tc>
      </w:tr>
      <w:tr w:rsidR="00E7541A" w:rsidTr="00206B22">
        <w:trPr>
          <w:trHeight w:val="312"/>
        </w:trPr>
        <w:tc>
          <w:tcPr>
            <w:tcW w:w="1466"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诊疗过程认真负责，敬业专注。遵守行业操守，不脱岗、不串岗，工作时不闲聊，不讲与工作无关的话，不做与工作无关的事。</w:t>
            </w:r>
          </w:p>
        </w:tc>
      </w:tr>
      <w:tr w:rsidR="00E7541A" w:rsidTr="00206B22">
        <w:trPr>
          <w:trHeight w:val="308"/>
        </w:trPr>
        <w:tc>
          <w:tcPr>
            <w:tcW w:w="1466"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val="restart"/>
            <w:tcBorders>
              <w:top w:val="single" w:sz="4" w:space="0" w:color="auto"/>
              <w:left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行业责任</w:t>
            </w: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行业诚信</w:t>
            </w: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*行业中企业被新闻媒体报道情况</w:t>
            </w:r>
          </w:p>
        </w:tc>
      </w:tr>
      <w:tr w:rsidR="00E7541A" w:rsidTr="00206B22">
        <w:trPr>
          <w:trHeight w:val="308"/>
        </w:trPr>
        <w:tc>
          <w:tcPr>
            <w:tcW w:w="1466"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保障工作</w:t>
            </w: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迎接中国国际进口博览会相关宣传</w:t>
            </w:r>
          </w:p>
        </w:tc>
      </w:tr>
      <w:tr w:rsidR="00E7541A" w:rsidTr="00206B22">
        <w:trPr>
          <w:trHeight w:val="312"/>
        </w:trPr>
        <w:tc>
          <w:tcPr>
            <w:tcW w:w="1466"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志愿服务</w:t>
            </w: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*志愿者活动组织和参与情况</w:t>
            </w:r>
          </w:p>
        </w:tc>
      </w:tr>
      <w:tr w:rsidR="00E7541A" w:rsidTr="00206B22">
        <w:trPr>
          <w:trHeight w:val="338"/>
        </w:trPr>
        <w:tc>
          <w:tcPr>
            <w:tcW w:w="1466"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公益事业</w:t>
            </w: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利用固定广告牌、宣传橱窗、电子荧屏等显著位置设置公益广告（如：社会主义核心价值观、市民修身、诚信建设）</w:t>
            </w:r>
          </w:p>
        </w:tc>
      </w:tr>
      <w:tr w:rsidR="00E7541A" w:rsidTr="00206B22">
        <w:trPr>
          <w:trHeight w:val="338"/>
        </w:trPr>
        <w:tc>
          <w:tcPr>
            <w:tcW w:w="1466"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*捐款捐物参与情况</w:t>
            </w:r>
          </w:p>
        </w:tc>
      </w:tr>
      <w:tr w:rsidR="00E7541A" w:rsidTr="00206B22">
        <w:trPr>
          <w:trHeight w:val="338"/>
        </w:trPr>
        <w:tc>
          <w:tcPr>
            <w:tcW w:w="1466"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*无偿献血参与情况</w:t>
            </w:r>
          </w:p>
        </w:tc>
      </w:tr>
      <w:tr w:rsidR="00E7541A" w:rsidTr="00206B22">
        <w:trPr>
          <w:trHeight w:val="288"/>
        </w:trPr>
        <w:tc>
          <w:tcPr>
            <w:tcW w:w="1466"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left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val="restart"/>
            <w:tcBorders>
              <w:top w:val="single" w:sz="4" w:space="0" w:color="auto"/>
              <w:left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r>
              <w:rPr>
                <w:rFonts w:ascii="华文仿宋" w:eastAsia="华文仿宋" w:hAnsi="华文仿宋" w:hint="eastAsia"/>
                <w:sz w:val="24"/>
              </w:rPr>
              <w:t>员工关怀</w:t>
            </w: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hint="eastAsia"/>
                <w:sz w:val="24"/>
              </w:rPr>
              <w:t>*员工满意度</w:t>
            </w:r>
          </w:p>
        </w:tc>
      </w:tr>
      <w:tr w:rsidR="00E7541A" w:rsidTr="00206B22">
        <w:trPr>
          <w:trHeight w:val="288"/>
        </w:trPr>
        <w:tc>
          <w:tcPr>
            <w:tcW w:w="1466" w:type="dxa"/>
            <w:vMerge/>
            <w:tcBorders>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348" w:type="dxa"/>
            <w:vMerge/>
            <w:tcBorders>
              <w:left w:val="single" w:sz="4" w:space="0" w:color="auto"/>
              <w:bottom w:val="single" w:sz="4" w:space="0" w:color="auto"/>
              <w:right w:val="single" w:sz="4" w:space="0" w:color="auto"/>
            </w:tcBorders>
            <w:vAlign w:val="center"/>
          </w:tcPr>
          <w:p w:rsidR="00E7541A" w:rsidRDefault="00E7541A" w:rsidP="00206B22">
            <w:pPr>
              <w:widowControl/>
              <w:jc w:val="left"/>
              <w:rPr>
                <w:rFonts w:ascii="华文仿宋" w:eastAsia="华文仿宋" w:hAnsi="华文仿宋"/>
                <w:sz w:val="24"/>
              </w:rPr>
            </w:pPr>
          </w:p>
        </w:tc>
        <w:tc>
          <w:tcPr>
            <w:tcW w:w="1443" w:type="dxa"/>
            <w:vMerge/>
            <w:tcBorders>
              <w:left w:val="single" w:sz="4" w:space="0" w:color="auto"/>
              <w:bottom w:val="single" w:sz="4" w:space="0" w:color="auto"/>
              <w:right w:val="single" w:sz="4" w:space="0" w:color="auto"/>
            </w:tcBorders>
            <w:vAlign w:val="center"/>
          </w:tcPr>
          <w:p w:rsidR="00E7541A" w:rsidRDefault="00E7541A" w:rsidP="00206B22">
            <w:pPr>
              <w:snapToGrid w:val="0"/>
              <w:jc w:val="center"/>
              <w:rPr>
                <w:rFonts w:ascii="华文仿宋" w:eastAsia="华文仿宋" w:hAnsi="华文仿宋"/>
                <w:sz w:val="24"/>
              </w:rPr>
            </w:pPr>
          </w:p>
        </w:tc>
        <w:tc>
          <w:tcPr>
            <w:tcW w:w="9885" w:type="dxa"/>
            <w:tcBorders>
              <w:top w:val="single" w:sz="4" w:space="0" w:color="auto"/>
              <w:left w:val="single" w:sz="4" w:space="0" w:color="auto"/>
              <w:bottom w:val="single" w:sz="4" w:space="0" w:color="auto"/>
              <w:right w:val="single" w:sz="4" w:space="0" w:color="auto"/>
            </w:tcBorders>
            <w:vAlign w:val="center"/>
          </w:tcPr>
          <w:p w:rsidR="00E7541A" w:rsidRDefault="00E7541A" w:rsidP="00206B22">
            <w:pPr>
              <w:snapToGrid w:val="0"/>
              <w:rPr>
                <w:rFonts w:ascii="华文仿宋" w:eastAsia="华文仿宋" w:hAnsi="华文仿宋"/>
                <w:sz w:val="24"/>
              </w:rPr>
            </w:pPr>
            <w:r>
              <w:rPr>
                <w:rFonts w:ascii="华文仿宋" w:eastAsia="华文仿宋" w:hAnsi="华文仿宋"/>
                <w:sz w:val="24"/>
              </w:rPr>
              <w:t>文明创建的知晓情况</w:t>
            </w:r>
            <w:r>
              <w:rPr>
                <w:rFonts w:ascii="华文仿宋" w:eastAsia="华文仿宋" w:hAnsi="华文仿宋" w:hint="eastAsia"/>
                <w:sz w:val="24"/>
              </w:rPr>
              <w:t>、生活垃圾分类工作推进情况</w:t>
            </w:r>
          </w:p>
        </w:tc>
      </w:tr>
    </w:tbl>
    <w:p w:rsidR="00E7541A" w:rsidRDefault="00E7541A" w:rsidP="00E7541A">
      <w:pPr>
        <w:pStyle w:val="a5"/>
        <w:spacing w:before="0" w:beforeAutospacing="0" w:after="0" w:afterAutospacing="0" w:line="560" w:lineRule="exact"/>
        <w:ind w:right="147"/>
        <w:textAlignment w:val="baseline"/>
        <w:rPr>
          <w:rFonts w:ascii="仿宋_GB2312" w:eastAsia="仿宋_GB2312"/>
          <w:b/>
          <w:sz w:val="30"/>
          <w:szCs w:val="30"/>
        </w:rPr>
      </w:pPr>
    </w:p>
    <w:p w:rsidR="00996704" w:rsidRDefault="00996704"/>
    <w:sectPr w:rsidR="00996704">
      <w:footerReference w:type="default" r:id="rId6"/>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9FF" w:rsidRDefault="00D879FF">
      <w:r>
        <w:separator/>
      </w:r>
    </w:p>
  </w:endnote>
  <w:endnote w:type="continuationSeparator" w:id="0">
    <w:p w:rsidR="00D879FF" w:rsidRDefault="00D8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1E" w:rsidRDefault="00E7541A">
    <w:pPr>
      <w:pStyle w:val="a4"/>
      <w:jc w:val="center"/>
    </w:pPr>
    <w:r>
      <w:fldChar w:fldCharType="begin"/>
    </w:r>
    <w:r>
      <w:instrText xml:space="preserve"> PAGE   \* MERGEFORMAT </w:instrText>
    </w:r>
    <w:r>
      <w:fldChar w:fldCharType="separate"/>
    </w:r>
    <w:r w:rsidR="00EF3285" w:rsidRPr="00EF3285">
      <w:rPr>
        <w:noProof/>
        <w:lang w:val="zh-CN"/>
      </w:rPr>
      <w:t>13</w:t>
    </w:r>
    <w:r>
      <w:fldChar w:fldCharType="end"/>
    </w:r>
  </w:p>
  <w:p w:rsidR="00C5461E" w:rsidRDefault="00D879F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9FF" w:rsidRDefault="00D879FF">
      <w:r>
        <w:separator/>
      </w:r>
    </w:p>
  </w:footnote>
  <w:footnote w:type="continuationSeparator" w:id="0">
    <w:p w:rsidR="00D879FF" w:rsidRDefault="00D87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1A"/>
    <w:rsid w:val="00996704"/>
    <w:rsid w:val="00D879FF"/>
    <w:rsid w:val="00E7541A"/>
    <w:rsid w:val="00EF3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AC995-CD49-413E-BEF1-AE2025C1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4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locked/>
    <w:rsid w:val="00E7541A"/>
    <w:rPr>
      <w:rFonts w:cs="Times New Roman"/>
      <w:sz w:val="18"/>
      <w:szCs w:val="18"/>
    </w:rPr>
  </w:style>
  <w:style w:type="paragraph" w:styleId="a5">
    <w:name w:val="Normal (Web)"/>
    <w:basedOn w:val="a"/>
    <w:rsid w:val="00E7541A"/>
    <w:pPr>
      <w:widowControl/>
      <w:spacing w:before="100" w:beforeAutospacing="1" w:after="100" w:afterAutospacing="1"/>
      <w:jc w:val="left"/>
    </w:pPr>
    <w:rPr>
      <w:rFonts w:ascii="宋体" w:hAnsi="宋体" w:cs="宋体"/>
      <w:color w:val="000000"/>
      <w:kern w:val="0"/>
      <w:sz w:val="24"/>
      <w:szCs w:val="24"/>
    </w:rPr>
  </w:style>
  <w:style w:type="paragraph" w:styleId="a4">
    <w:name w:val="footer"/>
    <w:basedOn w:val="a"/>
    <w:link w:val="a3"/>
    <w:rsid w:val="00E7541A"/>
    <w:pPr>
      <w:tabs>
        <w:tab w:val="center" w:pos="4153"/>
        <w:tab w:val="right" w:pos="8306"/>
      </w:tabs>
      <w:snapToGrid w:val="0"/>
      <w:jc w:val="left"/>
    </w:pPr>
    <w:rPr>
      <w:rFonts w:asciiTheme="minorHAnsi" w:eastAsiaTheme="minorEastAsia" w:hAnsiTheme="minorHAnsi"/>
      <w:sz w:val="18"/>
      <w:szCs w:val="18"/>
    </w:rPr>
  </w:style>
  <w:style w:type="character" w:customStyle="1" w:styleId="1">
    <w:name w:val="页脚 字符1"/>
    <w:basedOn w:val="a0"/>
    <w:uiPriority w:val="99"/>
    <w:semiHidden/>
    <w:rsid w:val="00E7541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1565</Words>
  <Characters>8925</Characters>
  <Application>Microsoft Office Word</Application>
  <DocSecurity>0</DocSecurity>
  <Lines>74</Lines>
  <Paragraphs>20</Paragraphs>
  <ScaleCrop>false</ScaleCrop>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neadcom</cp:lastModifiedBy>
  <cp:revision>2</cp:revision>
  <dcterms:created xsi:type="dcterms:W3CDTF">2020-08-18T03:40:00Z</dcterms:created>
  <dcterms:modified xsi:type="dcterms:W3CDTF">2020-08-18T07:19:00Z</dcterms:modified>
</cp:coreProperties>
</file>